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方正仿宋_GBK"/>
          <w:sz w:val="32"/>
          <w:szCs w:val="32"/>
          <w:highlight w:val="none"/>
        </w:rPr>
      </w:pPr>
      <w:r>
        <w:rPr>
          <w:rFonts w:hint="eastAsia" w:eastAsia="方正仿宋_GBK"/>
          <w:sz w:val="32"/>
          <w:szCs w:val="32"/>
          <w:highlight w:val="none"/>
        </w:rPr>
        <w:t xml:space="preserve">                                                                                                                                                                               </w:t>
      </w:r>
    </w:p>
    <w:p>
      <w:pPr>
        <w:spacing w:line="460" w:lineRule="exact"/>
        <w:jc w:val="center"/>
        <w:rPr>
          <w:rFonts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乌鲁木齐职业大学2016年</w:t>
      </w:r>
    </w:p>
    <w:p>
      <w:pPr>
        <w:spacing w:line="460" w:lineRule="exact"/>
        <w:jc w:val="center"/>
        <w:rPr>
          <w:rFonts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部门决算公开信息</w:t>
      </w:r>
    </w:p>
    <w:p>
      <w:pPr>
        <w:spacing w:line="560" w:lineRule="exact"/>
        <w:ind w:firstLine="640" w:firstLineChars="200"/>
        <w:rPr>
          <w:rFonts w:ascii="仿宋_GB2312" w:hAnsi="Times New Roman" w:eastAsia="仿宋_GB2312" w:cs="Times New Roman"/>
          <w:sz w:val="32"/>
          <w:szCs w:val="32"/>
          <w:highlight w:val="none"/>
        </w:rPr>
      </w:pPr>
    </w:p>
    <w:p>
      <w:pPr>
        <w:spacing w:line="560" w:lineRule="exact"/>
        <w:jc w:val="center"/>
        <w:rPr>
          <w:rFonts w:ascii="仿宋_GB2312" w:hAnsi="Times New Roman" w:eastAsia="仿宋_GB2312" w:cs="Times New Roman"/>
          <w:b/>
          <w:sz w:val="32"/>
          <w:szCs w:val="32"/>
          <w:highlight w:val="none"/>
        </w:rPr>
      </w:pPr>
      <w:r>
        <w:rPr>
          <w:rFonts w:hint="eastAsia" w:ascii="仿宋_GB2312" w:hAnsi="Times New Roman" w:eastAsia="仿宋_GB2312" w:cs="Times New Roman"/>
          <w:b/>
          <w:sz w:val="32"/>
          <w:szCs w:val="32"/>
          <w:highlight w:val="none"/>
        </w:rPr>
        <w:t>第一部分  乌鲁木齐职业大学概述</w:t>
      </w:r>
    </w:p>
    <w:p>
      <w:pPr>
        <w:widowControl/>
        <w:spacing w:line="560" w:lineRule="exact"/>
        <w:ind w:firstLine="643" w:firstLineChars="200"/>
        <w:jc w:val="left"/>
        <w:rPr>
          <w:rFonts w:ascii="仿宋_GB2312" w:hAnsi="新宋体" w:eastAsia="仿宋_GB2312" w:cs="Tahoma"/>
          <w:b/>
          <w:kern w:val="0"/>
          <w:sz w:val="32"/>
          <w:szCs w:val="32"/>
          <w:highlight w:val="none"/>
        </w:rPr>
      </w:pPr>
      <w:r>
        <w:rPr>
          <w:rFonts w:hint="eastAsia" w:ascii="仿宋_GB2312" w:hAnsi="新宋体" w:eastAsia="仿宋_GB2312" w:cs="Tahoma"/>
          <w:b/>
          <w:kern w:val="0"/>
          <w:sz w:val="32"/>
          <w:szCs w:val="32"/>
          <w:highlight w:val="none"/>
        </w:rPr>
        <w:t>一、基本情况</w:t>
      </w:r>
    </w:p>
    <w:p>
      <w:pPr>
        <w:widowControl/>
        <w:spacing w:line="560" w:lineRule="exact"/>
        <w:ind w:left="638" w:leftChars="304"/>
        <w:jc w:val="lef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(一)主要职能                                                                                                                                                                     </w:t>
      </w:r>
    </w:p>
    <w:p>
      <w:pPr>
        <w:widowControl/>
        <w:spacing w:line="560" w:lineRule="exact"/>
        <w:ind w:firstLine="640" w:firstLineChars="200"/>
        <w:jc w:val="lef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乌鲁木齐职业大学是乌鲁木齐市属唯一一所综合性全日制普通高等职业院校。2007年，经新疆维吾尔自治区人民政府批准，原乌鲁木齐职业大学与乌鲁木齐成人教育学院合并，组建新的乌鲁木齐职业大学，实行区、市共建、以市为主的管理体制，属于副厅级全额拨款事业单位。</w:t>
      </w:r>
    </w:p>
    <w:p>
      <w:pPr>
        <w:widowControl/>
        <w:spacing w:line="560" w:lineRule="exact"/>
        <w:ind w:firstLine="640" w:firstLineChars="200"/>
        <w:jc w:val="lef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学校以高等职业教育为主体，以中等职业教育和成人继续教育为补充，同时</w:t>
      </w:r>
      <w:r>
        <w:rPr>
          <w:rFonts w:hint="eastAsia" w:ascii="仿宋_GB2312" w:hAnsi="新宋体" w:eastAsia="仿宋_GB2312" w:cs="Tahoma"/>
          <w:kern w:val="0"/>
          <w:sz w:val="32"/>
          <w:szCs w:val="32"/>
          <w:highlight w:val="none"/>
        </w:rPr>
        <w:t>开展</w:t>
      </w:r>
      <w:r>
        <w:rPr>
          <w:rFonts w:hint="eastAsia" w:ascii="仿宋_GB2312" w:hAnsi="新宋体" w:eastAsia="仿宋_GB2312" w:cs="Tahoma"/>
          <w:kern w:val="0"/>
          <w:sz w:val="32"/>
          <w:szCs w:val="32"/>
          <w:highlight w:val="none"/>
        </w:rPr>
        <w:t>职业技能培训及鉴定</w:t>
      </w:r>
      <w:r>
        <w:rPr>
          <w:rFonts w:hint="eastAsia" w:ascii="仿宋_GB2312" w:hAnsi="新宋体" w:eastAsia="仿宋_GB2312" w:cs="Tahoma"/>
          <w:kern w:val="0"/>
          <w:sz w:val="32"/>
          <w:szCs w:val="32"/>
          <w:highlight w:val="none"/>
        </w:rPr>
        <w:t>、会计继续教育培训</w:t>
      </w:r>
      <w:r>
        <w:rPr>
          <w:rFonts w:hint="eastAsia" w:ascii="仿宋_GB2312" w:hAnsi="新宋体" w:eastAsia="仿宋_GB2312" w:cs="Tahoma"/>
          <w:kern w:val="0"/>
          <w:sz w:val="32"/>
          <w:szCs w:val="32"/>
          <w:highlight w:val="none"/>
        </w:rPr>
        <w:t>、普通话测试、农民工劳动力转移培训、企业下岗人员培训、部队官兵现代技术培训及企业人员培训等社会服务项目、接受自治区和乌鲁木齐市委托培养的双语教育、中小学教学继续教育、中职骨干教师培训等各类培训和非学历教育。</w:t>
      </w:r>
    </w:p>
    <w:p>
      <w:pPr>
        <w:numPr>
          <w:ilvl w:val="0"/>
          <w:numId w:val="1"/>
        </w:num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机构设置</w:t>
      </w:r>
    </w:p>
    <w:p>
      <w:pPr>
        <w:spacing w:line="560" w:lineRule="exact"/>
        <w:ind w:firstLine="64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学校共设36个下属机构，分为教学机构、教学管理教辅及科研机构、党务行政管理三类，其中教学机构16个，教学管理教辅及科研机构6个，党务行政管理机构14个。</w:t>
      </w:r>
    </w:p>
    <w:p>
      <w:pPr>
        <w:numPr>
          <w:ilvl w:val="0"/>
          <w:numId w:val="2"/>
        </w:numPr>
        <w:spacing w:line="560" w:lineRule="exact"/>
        <w:ind w:firstLine="64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人员编制：</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2016年编制人数760人，实有在职人员720人，退休340人，离休3人。</w:t>
      </w:r>
    </w:p>
    <w:p>
      <w:pPr>
        <w:spacing w:line="560" w:lineRule="exact"/>
        <w:ind w:firstLine="643" w:firstLineChars="200"/>
        <w:rPr>
          <w:rFonts w:ascii="仿宋_GB2312" w:hAnsi="新宋体" w:eastAsia="仿宋_GB2312" w:cs="Tahoma"/>
          <w:b/>
          <w:kern w:val="0"/>
          <w:sz w:val="32"/>
          <w:szCs w:val="32"/>
          <w:highlight w:val="none"/>
        </w:rPr>
      </w:pPr>
      <w:r>
        <w:rPr>
          <w:rFonts w:hint="eastAsia" w:ascii="仿宋_GB2312" w:hAnsi="新宋体" w:eastAsia="仿宋_GB2312" w:cs="Tahoma"/>
          <w:b/>
          <w:kern w:val="0"/>
          <w:sz w:val="32"/>
          <w:szCs w:val="32"/>
          <w:highlight w:val="none"/>
        </w:rPr>
        <w:t>二、部门决算单位构成</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乌鲁木齐职业大学2016年部门决算报表编制范围的单位共计1个，名单见下表：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95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spacing w:line="560" w:lineRule="exact"/>
              <w:jc w:val="center"/>
              <w:rPr>
                <w:rFonts w:ascii="仿宋_GB2312" w:hAnsi="新宋体" w:eastAsia="仿宋_GB2312" w:cs="Tahoma"/>
                <w:b/>
                <w:kern w:val="0"/>
                <w:sz w:val="32"/>
                <w:szCs w:val="32"/>
                <w:highlight w:val="none"/>
              </w:rPr>
            </w:pPr>
            <w:r>
              <w:rPr>
                <w:rFonts w:hint="eastAsia" w:ascii="仿宋_GB2312" w:hAnsi="新宋体" w:eastAsia="仿宋_GB2312" w:cs="Tahoma"/>
                <w:b/>
                <w:kern w:val="0"/>
                <w:sz w:val="32"/>
                <w:szCs w:val="32"/>
                <w:highlight w:val="none"/>
              </w:rPr>
              <w:t>序号</w:t>
            </w:r>
          </w:p>
        </w:tc>
        <w:tc>
          <w:tcPr>
            <w:tcW w:w="5953" w:type="dxa"/>
            <w:shd w:val="clear" w:color="auto" w:fill="auto"/>
          </w:tcPr>
          <w:p>
            <w:pPr>
              <w:spacing w:line="560" w:lineRule="exact"/>
              <w:jc w:val="center"/>
              <w:rPr>
                <w:rFonts w:ascii="仿宋_GB2312" w:hAnsi="新宋体" w:eastAsia="仿宋_GB2312" w:cs="Tahoma"/>
                <w:b/>
                <w:kern w:val="0"/>
                <w:sz w:val="32"/>
                <w:szCs w:val="32"/>
                <w:highlight w:val="none"/>
              </w:rPr>
            </w:pPr>
            <w:r>
              <w:rPr>
                <w:rFonts w:hint="eastAsia" w:ascii="仿宋_GB2312" w:hAnsi="新宋体" w:eastAsia="仿宋_GB2312" w:cs="Tahoma"/>
                <w:b/>
                <w:kern w:val="0"/>
                <w:sz w:val="32"/>
                <w:szCs w:val="32"/>
                <w:highlight w:val="none"/>
              </w:rPr>
              <w:t>单位名称</w:t>
            </w:r>
          </w:p>
        </w:tc>
        <w:tc>
          <w:tcPr>
            <w:tcW w:w="1610" w:type="dxa"/>
            <w:shd w:val="clear" w:color="auto" w:fill="auto"/>
          </w:tcPr>
          <w:p>
            <w:pPr>
              <w:spacing w:line="560" w:lineRule="exact"/>
              <w:jc w:val="center"/>
              <w:rPr>
                <w:rFonts w:ascii="仿宋_GB2312" w:hAnsi="新宋体" w:eastAsia="仿宋_GB2312" w:cs="Tahoma"/>
                <w:b/>
                <w:kern w:val="0"/>
                <w:sz w:val="32"/>
                <w:szCs w:val="32"/>
                <w:highlight w:val="none"/>
              </w:rPr>
            </w:pPr>
            <w:r>
              <w:rPr>
                <w:rFonts w:hint="eastAsia" w:ascii="仿宋_GB2312" w:hAnsi="新宋体" w:eastAsia="仿宋_GB2312" w:cs="Tahoma"/>
                <w:b/>
                <w:kern w:val="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shd w:val="clear" w:color="auto" w:fill="auto"/>
          </w:tcPr>
          <w:p>
            <w:pPr>
              <w:spacing w:line="560" w:lineRule="exact"/>
              <w:jc w:val="center"/>
              <w:rPr>
                <w:rFonts w:ascii="仿宋_GB2312" w:hAnsi="新宋体" w:eastAsia="仿宋_GB2312" w:cs="Tahoma"/>
                <w:kern w:val="0"/>
                <w:sz w:val="28"/>
                <w:szCs w:val="28"/>
                <w:highlight w:val="none"/>
              </w:rPr>
            </w:pPr>
            <w:r>
              <w:rPr>
                <w:rFonts w:hint="eastAsia" w:ascii="仿宋_GB2312" w:hAnsi="新宋体" w:eastAsia="仿宋_GB2312" w:cs="Tahoma"/>
                <w:kern w:val="0"/>
                <w:sz w:val="28"/>
                <w:szCs w:val="28"/>
                <w:highlight w:val="none"/>
              </w:rPr>
              <w:t>1</w:t>
            </w:r>
          </w:p>
        </w:tc>
        <w:tc>
          <w:tcPr>
            <w:tcW w:w="5953" w:type="dxa"/>
            <w:shd w:val="clear" w:color="auto" w:fill="auto"/>
          </w:tcPr>
          <w:p>
            <w:pPr>
              <w:spacing w:line="560" w:lineRule="exact"/>
              <w:rPr>
                <w:rFonts w:ascii="仿宋_GB2312" w:hAnsi="新宋体" w:eastAsia="仿宋_GB2312" w:cs="Tahoma"/>
                <w:kern w:val="0"/>
                <w:sz w:val="28"/>
                <w:szCs w:val="28"/>
                <w:highlight w:val="none"/>
              </w:rPr>
            </w:pPr>
            <w:r>
              <w:rPr>
                <w:rFonts w:hint="eastAsia" w:ascii="仿宋_GB2312" w:hAnsi="新宋体" w:eastAsia="仿宋_GB2312" w:cs="Tahoma"/>
                <w:kern w:val="0"/>
                <w:sz w:val="28"/>
                <w:szCs w:val="28"/>
                <w:highlight w:val="none"/>
              </w:rPr>
              <w:t>乌鲁木齐职业大学（本级）</w:t>
            </w:r>
          </w:p>
        </w:tc>
        <w:tc>
          <w:tcPr>
            <w:tcW w:w="1610" w:type="dxa"/>
            <w:shd w:val="clear" w:color="auto" w:fill="auto"/>
          </w:tcPr>
          <w:p>
            <w:pPr>
              <w:spacing w:line="560" w:lineRule="exact"/>
              <w:jc w:val="center"/>
              <w:rPr>
                <w:rFonts w:ascii="仿宋_GB2312" w:hAnsi="新宋体" w:eastAsia="仿宋_GB2312" w:cs="Tahoma"/>
                <w:kern w:val="0"/>
                <w:sz w:val="28"/>
                <w:szCs w:val="28"/>
                <w:highlight w:val="none"/>
              </w:rPr>
            </w:pPr>
            <w:r>
              <w:rPr>
                <w:rFonts w:hint="eastAsia" w:ascii="仿宋_GB2312" w:hAnsi="新宋体" w:eastAsia="仿宋_GB2312" w:cs="Tahoma"/>
                <w:kern w:val="0"/>
                <w:sz w:val="28"/>
                <w:szCs w:val="28"/>
                <w:highlight w:val="none"/>
              </w:rPr>
              <w:t>事业单位</w:t>
            </w:r>
          </w:p>
        </w:tc>
      </w:tr>
    </w:tbl>
    <w:p>
      <w:pPr>
        <w:spacing w:line="560" w:lineRule="exact"/>
        <w:ind w:firstLine="640" w:firstLineChars="200"/>
        <w:rPr>
          <w:rFonts w:ascii="仿宋_GB2312" w:hAnsi="新宋体" w:eastAsia="仿宋_GB2312" w:cs="Tahoma"/>
          <w:kern w:val="0"/>
          <w:sz w:val="32"/>
          <w:szCs w:val="32"/>
          <w:highlight w:val="none"/>
        </w:rPr>
      </w:pPr>
    </w:p>
    <w:p>
      <w:pPr>
        <w:spacing w:line="460" w:lineRule="exact"/>
        <w:jc w:val="center"/>
        <w:rPr>
          <w:rFonts w:ascii="仿宋_GB2312" w:hAnsi="Times New Roman" w:eastAsia="仿宋_GB2312" w:cs="Times New Roman"/>
          <w:b/>
          <w:sz w:val="32"/>
          <w:szCs w:val="32"/>
          <w:highlight w:val="none"/>
        </w:rPr>
      </w:pPr>
    </w:p>
    <w:p>
      <w:pPr>
        <w:spacing w:line="460" w:lineRule="exact"/>
        <w:jc w:val="center"/>
        <w:rPr>
          <w:rFonts w:ascii="仿宋_GB2312" w:hAnsi="Times New Roman" w:eastAsia="仿宋_GB2312" w:cs="Times New Roman"/>
          <w:b/>
          <w:sz w:val="32"/>
          <w:szCs w:val="32"/>
          <w:highlight w:val="none"/>
        </w:rPr>
      </w:pPr>
      <w:r>
        <w:rPr>
          <w:rFonts w:hint="eastAsia" w:ascii="仿宋_GB2312" w:hAnsi="Times New Roman" w:eastAsia="仿宋_GB2312" w:cs="Times New Roman"/>
          <w:b/>
          <w:sz w:val="32"/>
          <w:szCs w:val="32"/>
          <w:highlight w:val="none"/>
        </w:rPr>
        <w:t>第二部分   乌鲁木齐职业大学2016年度部门决算报表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收入支出决算总表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财政拨款收入支出决算总表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收入决算表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基本支出决算明细表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项目支出决算明细表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项目收入支出决算表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行政事业类项目收入支出决算表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基本建设类项目收入支出决算表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一般公共预算财政拨款收入支出决算表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一般公共预算财政拨款支出决算明细表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一般公共预算财政拨款基本支出决算明细表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一般公共预算财政拨款项目支出决算明细表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政府性基金预算财政拨款收入支出决算表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政府性基金预算财政拨款支出决算表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政府性基金预算财政拨款基本支出决算明细表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政府性基金预算财政拨款项目支出决算明细表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财政专户管理资金收入支出决算表</w:t>
      </w:r>
    </w:p>
    <w:p>
      <w:pPr>
        <w:numPr>
          <w:ilvl w:val="0"/>
          <w:numId w:val="3"/>
        </w:num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资产负债表</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详细内容见附件1</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二十二、2016年度财政拨款“三公”经费支出表及说明</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详细内容见附件2</w:t>
      </w:r>
    </w:p>
    <w:p>
      <w:pPr>
        <w:spacing w:line="560" w:lineRule="exact"/>
        <w:ind w:firstLine="643" w:firstLineChars="200"/>
        <w:rPr>
          <w:rFonts w:ascii="仿宋_GB2312" w:hAnsi="Times New Roman" w:eastAsia="仿宋_GB2312" w:cs="Times New Roman"/>
          <w:b/>
          <w:sz w:val="32"/>
          <w:szCs w:val="32"/>
          <w:highlight w:val="none"/>
        </w:rPr>
      </w:pPr>
    </w:p>
    <w:p>
      <w:pPr>
        <w:spacing w:line="560" w:lineRule="exact"/>
        <w:jc w:val="center"/>
        <w:rPr>
          <w:rFonts w:ascii="仿宋_GB2312" w:hAnsi="Times New Roman" w:eastAsia="仿宋_GB2312" w:cs="Times New Roman"/>
          <w:b/>
          <w:sz w:val="32"/>
          <w:szCs w:val="32"/>
          <w:highlight w:val="none"/>
        </w:rPr>
      </w:pPr>
      <w:r>
        <w:rPr>
          <w:rFonts w:hint="eastAsia" w:ascii="仿宋_GB2312" w:hAnsi="Times New Roman" w:eastAsia="仿宋_GB2312" w:cs="Times New Roman"/>
          <w:b/>
          <w:sz w:val="32"/>
          <w:szCs w:val="32"/>
          <w:highlight w:val="none"/>
        </w:rPr>
        <w:t>第三部分 乌鲁木齐职业大学2016年度部门决算情况说明</w:t>
      </w:r>
    </w:p>
    <w:p>
      <w:pPr>
        <w:numPr>
          <w:ilvl w:val="0"/>
          <w:numId w:val="4"/>
        </w:num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收入支出决算总体情况说明</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上年结转和结余 10,651,286.85元</w:t>
      </w:r>
    </w:p>
    <w:p>
      <w:pPr>
        <w:pStyle w:val="11"/>
        <w:spacing w:line="560" w:lineRule="exact"/>
        <w:ind w:left="630" w:firstLine="640" w:firstLineChars="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本年总收入：338,296,640.14元。</w:t>
      </w:r>
      <w:r>
        <w:rPr>
          <w:rFonts w:hint="eastAsia" w:ascii="仿宋_GB2312" w:hAnsi="新宋体" w:eastAsia="仿宋_GB2312" w:cs="Tahoma"/>
          <w:kern w:val="0"/>
          <w:sz w:val="32"/>
          <w:szCs w:val="32"/>
          <w:highlight w:val="none"/>
        </w:rPr>
        <w:t>同比2015年增加36,916,608.19元，增长12.27%。</w:t>
      </w:r>
      <w:r>
        <w:rPr>
          <w:rFonts w:hint="eastAsia" w:ascii="仿宋_GB2312" w:hAnsi="新宋体" w:eastAsia="仿宋_GB2312" w:cs="Tahoma"/>
          <w:kern w:val="0"/>
          <w:sz w:val="32"/>
          <w:szCs w:val="32"/>
          <w:highlight w:val="none"/>
          <w:lang w:eastAsia="zh-CN"/>
        </w:rPr>
        <w:t>增加原因为：</w:t>
      </w:r>
      <w:r>
        <w:rPr>
          <w:rFonts w:hint="eastAsia" w:ascii="仿宋_GB2312" w:hAnsi="新宋体" w:eastAsia="仿宋_GB2312" w:cs="Tahoma"/>
          <w:kern w:val="0"/>
          <w:sz w:val="32"/>
          <w:szCs w:val="32"/>
          <w:highlight w:val="none"/>
        </w:rPr>
        <w:t>本年度各类专项项目数增多</w:t>
      </w:r>
      <w:r>
        <w:rPr>
          <w:rFonts w:hint="eastAsia" w:ascii="仿宋_GB2312" w:hAnsi="新宋体" w:eastAsia="仿宋_GB2312" w:cs="Tahoma"/>
          <w:kern w:val="0"/>
          <w:sz w:val="32"/>
          <w:szCs w:val="32"/>
          <w:highlight w:val="none"/>
          <w:lang w:eastAsia="zh-CN"/>
        </w:rPr>
        <w:t>，</w:t>
      </w:r>
      <w:r>
        <w:rPr>
          <w:rFonts w:hint="eastAsia" w:ascii="仿宋_GB2312" w:hAnsi="新宋体" w:eastAsia="仿宋_GB2312" w:cs="Tahoma"/>
          <w:kern w:val="0"/>
          <w:sz w:val="32"/>
          <w:szCs w:val="32"/>
          <w:highlight w:val="none"/>
        </w:rPr>
        <w:t>专款拨款数增加。</w:t>
      </w:r>
    </w:p>
    <w:p>
      <w:pPr>
        <w:pStyle w:val="11"/>
        <w:spacing w:line="560" w:lineRule="exact"/>
        <w:ind w:left="630" w:firstLine="640" w:firstLineChars="0"/>
        <w:rPr>
          <w:rFonts w:hint="eastAsia" w:ascii="仿宋_GB2312" w:hAnsi="新宋体" w:eastAsia="仿宋_GB2312" w:cs="Tahoma"/>
          <w:kern w:val="0"/>
          <w:sz w:val="32"/>
          <w:szCs w:val="32"/>
          <w:highlight w:val="none"/>
          <w:lang w:eastAsia="zh-CN"/>
        </w:rPr>
      </w:pPr>
      <w:r>
        <w:rPr>
          <w:rFonts w:hint="eastAsia" w:ascii="仿宋_GB2312" w:hAnsi="新宋体" w:eastAsia="仿宋_GB2312" w:cs="Tahoma"/>
          <w:kern w:val="0"/>
          <w:sz w:val="32"/>
          <w:szCs w:val="32"/>
          <w:highlight w:val="none"/>
        </w:rPr>
        <w:t>其中： 1、财政拨款291,091,646.08 元，同比2015年增加17,230,634.33元，增长6.29%。</w:t>
      </w:r>
      <w:r>
        <w:rPr>
          <w:rFonts w:hint="eastAsia" w:ascii="仿宋_GB2312" w:hAnsi="新宋体" w:eastAsia="仿宋_GB2312" w:cs="Tahoma"/>
          <w:kern w:val="0"/>
          <w:sz w:val="32"/>
          <w:szCs w:val="32"/>
          <w:highlight w:val="none"/>
          <w:lang w:eastAsia="zh-CN"/>
        </w:rPr>
        <w:t>增加原因为：本年度各类财政专项项目数增多专款拨款数增加。</w:t>
      </w:r>
    </w:p>
    <w:p>
      <w:pPr>
        <w:spacing w:line="560" w:lineRule="exact"/>
        <w:ind w:firstLine="1280" w:firstLineChars="400"/>
        <w:rPr>
          <w:rFonts w:hint="eastAsia"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其他收入47,204,994.06元，同比2015年增加24,505,300.98元，增长107.95%，增加原因为</w:t>
      </w:r>
      <w:r>
        <w:rPr>
          <w:rFonts w:hint="eastAsia" w:ascii="仿宋_GB2312" w:hAnsi="新宋体" w:eastAsia="仿宋_GB2312" w:cs="Tahoma"/>
          <w:kern w:val="0"/>
          <w:sz w:val="32"/>
          <w:szCs w:val="32"/>
          <w:highlight w:val="none"/>
          <w:lang w:eastAsia="zh-CN"/>
        </w:rPr>
        <w:t>：</w:t>
      </w:r>
      <w:r>
        <w:rPr>
          <w:rFonts w:hint="eastAsia" w:ascii="仿宋_GB2312" w:hAnsi="新宋体" w:eastAsia="仿宋_GB2312" w:cs="Tahoma"/>
          <w:kern w:val="0"/>
          <w:sz w:val="32"/>
          <w:szCs w:val="32"/>
          <w:highlight w:val="none"/>
        </w:rPr>
        <w:t>本年度涉外处拨入还款本金</w:t>
      </w:r>
      <w:r>
        <w:rPr>
          <w:rFonts w:hint="eastAsia" w:ascii="仿宋_GB2312" w:hAnsi="新宋体" w:eastAsia="仿宋_GB2312" w:cs="Tahoma"/>
          <w:kern w:val="0"/>
          <w:sz w:val="32"/>
          <w:szCs w:val="32"/>
          <w:highlight w:val="none"/>
          <w:lang w:eastAsia="zh-CN"/>
        </w:rPr>
        <w:t>增加，</w:t>
      </w:r>
      <w:r>
        <w:rPr>
          <w:rFonts w:hint="eastAsia" w:ascii="仿宋_GB2312" w:hAnsi="新宋体" w:eastAsia="仿宋_GB2312" w:cs="Tahoma"/>
          <w:kern w:val="0"/>
          <w:sz w:val="32"/>
          <w:szCs w:val="32"/>
          <w:highlight w:val="none"/>
        </w:rPr>
        <w:t>从非本级财政部门取得的</w:t>
      </w:r>
      <w:r>
        <w:rPr>
          <w:rFonts w:hint="eastAsia" w:ascii="仿宋_GB2312" w:hAnsi="新宋体" w:eastAsia="仿宋_GB2312" w:cs="Tahoma"/>
          <w:kern w:val="0"/>
          <w:sz w:val="32"/>
          <w:szCs w:val="32"/>
          <w:highlight w:val="none"/>
          <w:lang w:eastAsia="zh-CN"/>
        </w:rPr>
        <w:t>各类专项</w:t>
      </w:r>
      <w:r>
        <w:rPr>
          <w:rFonts w:hint="eastAsia" w:ascii="仿宋_GB2312" w:hAnsi="新宋体" w:eastAsia="仿宋_GB2312" w:cs="Tahoma"/>
          <w:kern w:val="0"/>
          <w:sz w:val="32"/>
          <w:szCs w:val="32"/>
          <w:highlight w:val="none"/>
        </w:rPr>
        <w:t>经费</w:t>
      </w:r>
      <w:r>
        <w:rPr>
          <w:rFonts w:hint="eastAsia" w:ascii="仿宋_GB2312" w:hAnsi="新宋体" w:eastAsia="仿宋_GB2312" w:cs="Tahoma"/>
          <w:kern w:val="0"/>
          <w:sz w:val="32"/>
          <w:szCs w:val="32"/>
          <w:highlight w:val="none"/>
          <w:lang w:eastAsia="zh-CN"/>
        </w:rPr>
        <w:t>增加</w:t>
      </w:r>
      <w:r>
        <w:rPr>
          <w:rFonts w:hint="eastAsia" w:ascii="仿宋_GB2312" w:hAnsi="新宋体" w:eastAsia="仿宋_GB2312" w:cs="Tahoma"/>
          <w:kern w:val="0"/>
          <w:sz w:val="32"/>
          <w:szCs w:val="32"/>
          <w:highlight w:val="none"/>
        </w:rPr>
        <w:t>。</w:t>
      </w:r>
    </w:p>
    <w:p>
      <w:pPr>
        <w:spacing w:line="560" w:lineRule="exact"/>
        <w:ind w:firstLine="640" w:firstLineChars="200"/>
        <w:rPr>
          <w:rFonts w:hint="eastAsia" w:ascii="仿宋_GB2312" w:hAnsi="新宋体" w:eastAsia="仿宋_GB2312" w:cs="Tahoma"/>
          <w:kern w:val="0"/>
          <w:sz w:val="32"/>
          <w:szCs w:val="32"/>
          <w:highlight w:val="none"/>
          <w:lang w:eastAsia="zh-CN"/>
        </w:rPr>
      </w:pPr>
      <w:r>
        <w:rPr>
          <w:rFonts w:hint="eastAsia" w:ascii="仿宋_GB2312" w:hAnsi="新宋体" w:eastAsia="仿宋_GB2312" w:cs="Tahoma"/>
          <w:kern w:val="0"/>
          <w:sz w:val="32"/>
          <w:szCs w:val="32"/>
          <w:highlight w:val="none"/>
        </w:rPr>
        <w:t xml:space="preserve"> 本年总支出：334,111,464.29元。</w:t>
      </w:r>
      <w:r>
        <w:rPr>
          <w:rFonts w:hint="eastAsia" w:ascii="仿宋_GB2312" w:hAnsi="新宋体" w:eastAsia="仿宋_GB2312" w:cs="Tahoma"/>
          <w:kern w:val="0"/>
          <w:sz w:val="32"/>
          <w:szCs w:val="32"/>
          <w:highlight w:val="none"/>
        </w:rPr>
        <w:t>同比2015年减少9，862,058.38元，下降2.86%。</w:t>
      </w:r>
      <w:r>
        <w:rPr>
          <w:rFonts w:hint="eastAsia" w:ascii="仿宋_GB2312" w:hAnsi="新宋体" w:eastAsia="仿宋_GB2312" w:cs="Tahoma"/>
          <w:kern w:val="0"/>
          <w:sz w:val="32"/>
          <w:szCs w:val="32"/>
          <w:highlight w:val="none"/>
          <w:lang w:eastAsia="zh-CN"/>
        </w:rPr>
        <w:t>增减原因具体如下：</w:t>
      </w:r>
    </w:p>
    <w:p>
      <w:pPr>
        <w:spacing w:line="560" w:lineRule="exact"/>
        <w:ind w:firstLine="640" w:firstLineChars="200"/>
        <w:rPr>
          <w:rFonts w:hint="eastAsia" w:ascii="仿宋_GB2312" w:hAnsi="新宋体" w:eastAsia="仿宋_GB2312" w:cs="Tahoma"/>
          <w:kern w:val="0"/>
          <w:sz w:val="32"/>
          <w:szCs w:val="32"/>
          <w:highlight w:val="none"/>
          <w:lang w:eastAsia="zh-CN"/>
        </w:rPr>
      </w:pPr>
      <w:r>
        <w:rPr>
          <w:rFonts w:hint="eastAsia" w:ascii="仿宋_GB2312" w:hAnsi="新宋体" w:eastAsia="仿宋_GB2312" w:cs="Tahoma"/>
          <w:kern w:val="0"/>
          <w:sz w:val="32"/>
          <w:szCs w:val="32"/>
          <w:highlight w:val="none"/>
        </w:rPr>
        <w:t xml:space="preserve"> 1、基本支出 157,412,805.84元。其中：公共预算财政拨款 157,412,805.84元。同比2015年增加5,634,131.01元，增长3.71%。</w:t>
      </w:r>
      <w:r>
        <w:rPr>
          <w:rFonts w:hint="eastAsia" w:ascii="仿宋_GB2312" w:hAnsi="新宋体" w:eastAsia="仿宋_GB2312" w:cs="Tahoma"/>
          <w:kern w:val="0"/>
          <w:sz w:val="32"/>
          <w:szCs w:val="32"/>
          <w:highlight w:val="none"/>
          <w:lang w:eastAsia="zh-CN"/>
        </w:rPr>
        <w:t>增加原因：因原有人员及新进人员工资、津贴、社会保障缴费、公积金调整，</w:t>
      </w:r>
      <w:r>
        <w:rPr>
          <w:rFonts w:hint="eastAsia" w:ascii="仿宋_GB2312" w:hAnsi="新宋体" w:eastAsia="仿宋_GB2312" w:cs="Tahoma"/>
          <w:kern w:val="0"/>
          <w:sz w:val="32"/>
          <w:szCs w:val="32"/>
          <w:highlight w:val="none"/>
          <w:lang w:val="en-US" w:eastAsia="zh-CN"/>
        </w:rPr>
        <w:t>四个校区为</w:t>
      </w:r>
      <w:r>
        <w:rPr>
          <w:rFonts w:hint="eastAsia" w:ascii="仿宋_GB2312" w:hAnsi="新宋体" w:eastAsia="仿宋_GB2312" w:cs="Tahoma"/>
          <w:kern w:val="0"/>
          <w:sz w:val="32"/>
          <w:szCs w:val="32"/>
          <w:highlight w:val="none"/>
          <w:lang w:eastAsia="zh-CN"/>
        </w:rPr>
        <w:t>日常教学费用等保障学校正常运转的开支略有增长。</w:t>
      </w:r>
    </w:p>
    <w:p>
      <w:pPr>
        <w:numPr>
          <w:ilvl w:val="0"/>
          <w:numId w:val="0"/>
        </w:numPr>
        <w:spacing w:line="560" w:lineRule="exact"/>
        <w:ind w:leftChars="200"/>
        <w:rPr>
          <w:rFonts w:ascii="仿宋_GB2312" w:hAnsi="新宋体" w:eastAsia="仿宋_GB2312" w:cs="Tahoma"/>
          <w:kern w:val="0"/>
          <w:sz w:val="32"/>
          <w:szCs w:val="32"/>
          <w:highlight w:val="none"/>
        </w:rPr>
      </w:pPr>
      <w:r>
        <w:rPr>
          <w:rFonts w:hint="eastAsia" w:ascii="仿宋_GB2312" w:hAnsi="新宋体" w:eastAsia="仿宋_GB2312" w:cs="Tahoma"/>
          <w:color w:val="auto"/>
          <w:kern w:val="0"/>
          <w:sz w:val="32"/>
          <w:szCs w:val="32"/>
          <w:highlight w:val="none"/>
          <w:lang w:val="en-US" w:eastAsia="zh-CN"/>
        </w:rPr>
        <w:t>2、</w:t>
      </w:r>
      <w:r>
        <w:rPr>
          <w:rFonts w:hint="eastAsia" w:ascii="仿宋_GB2312" w:hAnsi="新宋体" w:eastAsia="仿宋_GB2312" w:cs="Tahoma"/>
          <w:color w:val="auto"/>
          <w:kern w:val="0"/>
          <w:sz w:val="32"/>
          <w:szCs w:val="32"/>
          <w:highlight w:val="none"/>
        </w:rPr>
        <w:t>项目支出 176,698,658.45元。</w:t>
      </w:r>
      <w:r>
        <w:rPr>
          <w:rFonts w:hint="eastAsia" w:ascii="仿宋_GB2312" w:hAnsi="新宋体" w:eastAsia="仿宋_GB2312" w:cs="Tahoma"/>
          <w:kern w:val="0"/>
          <w:sz w:val="32"/>
          <w:szCs w:val="32"/>
          <w:highlight w:val="none"/>
        </w:rPr>
        <w:t>同比2015年减少10,676,862.27元，下降5.69%</w:t>
      </w:r>
      <w:r>
        <w:rPr>
          <w:rFonts w:hint="eastAsia" w:ascii="仿宋_GB2312" w:hAnsi="新宋体" w:eastAsia="仿宋_GB2312" w:cs="Tahoma"/>
          <w:kern w:val="0"/>
          <w:sz w:val="32"/>
          <w:szCs w:val="32"/>
          <w:highlight w:val="none"/>
          <w:lang w:eastAsia="zh-CN"/>
        </w:rPr>
        <w:t>，减少原因：</w:t>
      </w:r>
      <w:r>
        <w:rPr>
          <w:rFonts w:hint="eastAsia" w:ascii="仿宋_GB2312" w:hAnsi="新宋体" w:eastAsia="仿宋_GB2312" w:cs="Tahoma"/>
          <w:kern w:val="0"/>
          <w:sz w:val="32"/>
          <w:szCs w:val="32"/>
          <w:highlight w:val="none"/>
        </w:rPr>
        <w:t>由于学校新校区基建贷款随归还本金逐年减少，故</w:t>
      </w:r>
      <w:r>
        <w:rPr>
          <w:rFonts w:hint="eastAsia" w:ascii="仿宋_GB2312" w:hAnsi="新宋体" w:eastAsia="仿宋_GB2312" w:cs="Tahoma"/>
          <w:kern w:val="0"/>
          <w:sz w:val="32"/>
          <w:szCs w:val="32"/>
          <w:highlight w:val="none"/>
          <w:lang w:eastAsia="zh-CN"/>
        </w:rPr>
        <w:t>项目</w:t>
      </w:r>
      <w:r>
        <w:rPr>
          <w:rFonts w:hint="eastAsia" w:ascii="仿宋_GB2312" w:hAnsi="新宋体" w:eastAsia="仿宋_GB2312" w:cs="Tahoma"/>
          <w:kern w:val="0"/>
          <w:sz w:val="32"/>
          <w:szCs w:val="32"/>
          <w:highlight w:val="none"/>
        </w:rPr>
        <w:t>支出相关款项</w:t>
      </w:r>
      <w:r>
        <w:rPr>
          <w:rFonts w:hint="eastAsia" w:ascii="仿宋_GB2312" w:hAnsi="新宋体" w:eastAsia="仿宋_GB2312" w:cs="Tahoma"/>
          <w:kern w:val="0"/>
          <w:sz w:val="32"/>
          <w:szCs w:val="32"/>
          <w:highlight w:val="none"/>
          <w:lang w:eastAsia="zh-CN"/>
        </w:rPr>
        <w:t>相应</w:t>
      </w:r>
      <w:r>
        <w:rPr>
          <w:rFonts w:hint="eastAsia" w:ascii="仿宋_GB2312" w:hAnsi="新宋体" w:eastAsia="仿宋_GB2312" w:cs="Tahoma"/>
          <w:kern w:val="0"/>
          <w:sz w:val="32"/>
          <w:szCs w:val="32"/>
          <w:highlight w:val="none"/>
        </w:rPr>
        <w:t>减少。</w:t>
      </w:r>
    </w:p>
    <w:p>
      <w:pPr>
        <w:spacing w:line="560" w:lineRule="exact"/>
        <w:ind w:firstLine="1280" w:firstLineChars="4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其中：公共预算财政拨款项目支出 124,688,004.22元。同比2015年减少33,196,495.35元，下降21.02%。减少原因：由于学校新校区基建贷款随归还本金逐年减少，故项目支出相关款项相应减少。</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年末结转结余14,836,462.70元。</w:t>
      </w:r>
    </w:p>
    <w:p>
      <w:pPr>
        <w:pStyle w:val="11"/>
        <w:spacing w:line="560" w:lineRule="exact"/>
        <w:ind w:left="630" w:firstLine="0" w:firstLineChars="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二、收入情况说明</w:t>
      </w:r>
    </w:p>
    <w:p>
      <w:pPr>
        <w:pStyle w:val="11"/>
        <w:spacing w:line="560" w:lineRule="exact"/>
        <w:ind w:left="630" w:firstLine="640" w:firstLineChars="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总收入：338,296,640.14元，同比2015年增加36,916,608.19元，增长12.27%。</w:t>
      </w:r>
      <w:r>
        <w:rPr>
          <w:rFonts w:hint="eastAsia" w:ascii="仿宋_GB2312" w:hAnsi="新宋体" w:eastAsia="仿宋_GB2312" w:cs="Tahoma"/>
          <w:kern w:val="0"/>
          <w:sz w:val="32"/>
          <w:szCs w:val="32"/>
          <w:highlight w:val="none"/>
          <w:lang w:eastAsia="zh-CN"/>
        </w:rPr>
        <w:t>增加原因：</w:t>
      </w:r>
      <w:r>
        <w:rPr>
          <w:rFonts w:hint="eastAsia" w:ascii="仿宋_GB2312" w:hAnsi="新宋体" w:eastAsia="仿宋_GB2312" w:cs="Tahoma"/>
          <w:kern w:val="0"/>
          <w:sz w:val="32"/>
          <w:szCs w:val="32"/>
          <w:highlight w:val="none"/>
        </w:rPr>
        <w:t>本年度各类专项项目数增多，专款拨款数增加。</w:t>
      </w:r>
    </w:p>
    <w:p>
      <w:pPr>
        <w:pStyle w:val="11"/>
        <w:spacing w:line="560" w:lineRule="exact"/>
        <w:ind w:left="630" w:firstLine="640" w:firstLineChars="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其中：</w:t>
      </w:r>
    </w:p>
    <w:p>
      <w:pPr>
        <w:pStyle w:val="11"/>
        <w:spacing w:line="560" w:lineRule="exact"/>
        <w:ind w:left="630" w:firstLine="0" w:firstLineChars="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1、财政拨款291,091,646.08 元，同比2015年增加17,230,634.33元，增长6.29%。</w:t>
      </w:r>
      <w:r>
        <w:rPr>
          <w:rFonts w:hint="eastAsia" w:ascii="仿宋_GB2312" w:hAnsi="新宋体" w:eastAsia="仿宋_GB2312" w:cs="Tahoma"/>
          <w:kern w:val="0"/>
          <w:sz w:val="32"/>
          <w:szCs w:val="32"/>
          <w:highlight w:val="none"/>
        </w:rPr>
        <w:t>增加原因为：本年度各类财政专项项目数增多专款拨款数增加</w:t>
      </w:r>
      <w:r>
        <w:rPr>
          <w:rFonts w:hint="eastAsia" w:ascii="仿宋_GB2312" w:hAnsi="新宋体" w:eastAsia="仿宋_GB2312" w:cs="Tahoma"/>
          <w:kern w:val="0"/>
          <w:sz w:val="32"/>
          <w:szCs w:val="32"/>
          <w:highlight w:val="none"/>
        </w:rPr>
        <w:t>。</w:t>
      </w:r>
    </w:p>
    <w:p>
      <w:pPr>
        <w:spacing w:line="560" w:lineRule="exact"/>
        <w:ind w:firstLine="1280" w:firstLineChars="400"/>
        <w:rPr>
          <w:rFonts w:hint="eastAsia"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lang w:val="en-US" w:eastAsia="zh-CN"/>
        </w:rPr>
        <w:t>2、</w:t>
      </w:r>
      <w:r>
        <w:rPr>
          <w:rFonts w:hint="eastAsia" w:ascii="仿宋_GB2312" w:hAnsi="新宋体" w:eastAsia="仿宋_GB2312" w:cs="Tahoma"/>
          <w:kern w:val="0"/>
          <w:sz w:val="32"/>
          <w:szCs w:val="32"/>
          <w:highlight w:val="none"/>
        </w:rPr>
        <w:t>其他收入47,204,994.06元，同比2015年增加24,505,300.98元，增长107.95%，</w:t>
      </w:r>
      <w:r>
        <w:rPr>
          <w:rFonts w:hint="eastAsia" w:ascii="仿宋_GB2312" w:hAnsi="新宋体" w:eastAsia="仿宋_GB2312" w:cs="Tahoma"/>
          <w:kern w:val="0"/>
          <w:sz w:val="32"/>
          <w:szCs w:val="32"/>
          <w:highlight w:val="none"/>
        </w:rPr>
        <w:t>增加原因为</w:t>
      </w:r>
      <w:r>
        <w:rPr>
          <w:rFonts w:hint="eastAsia" w:ascii="仿宋_GB2312" w:hAnsi="新宋体" w:eastAsia="仿宋_GB2312" w:cs="Tahoma"/>
          <w:kern w:val="0"/>
          <w:sz w:val="32"/>
          <w:szCs w:val="32"/>
          <w:highlight w:val="none"/>
          <w:lang w:eastAsia="zh-CN"/>
        </w:rPr>
        <w:t>：</w:t>
      </w:r>
      <w:r>
        <w:rPr>
          <w:rFonts w:hint="eastAsia" w:ascii="仿宋_GB2312" w:hAnsi="新宋体" w:eastAsia="仿宋_GB2312" w:cs="Tahoma"/>
          <w:kern w:val="0"/>
          <w:sz w:val="32"/>
          <w:szCs w:val="32"/>
          <w:highlight w:val="none"/>
        </w:rPr>
        <w:t>本年度涉外处拨入还款本金</w:t>
      </w:r>
      <w:r>
        <w:rPr>
          <w:rFonts w:hint="eastAsia" w:ascii="仿宋_GB2312" w:hAnsi="新宋体" w:eastAsia="仿宋_GB2312" w:cs="Tahoma"/>
          <w:kern w:val="0"/>
          <w:sz w:val="32"/>
          <w:szCs w:val="32"/>
          <w:highlight w:val="none"/>
          <w:lang w:eastAsia="zh-CN"/>
        </w:rPr>
        <w:t>增加，</w:t>
      </w:r>
      <w:r>
        <w:rPr>
          <w:rFonts w:hint="eastAsia" w:ascii="仿宋_GB2312" w:hAnsi="新宋体" w:eastAsia="仿宋_GB2312" w:cs="Tahoma"/>
          <w:kern w:val="0"/>
          <w:sz w:val="32"/>
          <w:szCs w:val="32"/>
          <w:highlight w:val="none"/>
        </w:rPr>
        <w:t>从非本级财政部门取得的</w:t>
      </w:r>
      <w:r>
        <w:rPr>
          <w:rFonts w:hint="eastAsia" w:ascii="仿宋_GB2312" w:hAnsi="新宋体" w:eastAsia="仿宋_GB2312" w:cs="Tahoma"/>
          <w:kern w:val="0"/>
          <w:sz w:val="32"/>
          <w:szCs w:val="32"/>
          <w:highlight w:val="none"/>
          <w:lang w:eastAsia="zh-CN"/>
        </w:rPr>
        <w:t>各类专项</w:t>
      </w:r>
      <w:r>
        <w:rPr>
          <w:rFonts w:hint="eastAsia" w:ascii="仿宋_GB2312" w:hAnsi="新宋体" w:eastAsia="仿宋_GB2312" w:cs="Tahoma"/>
          <w:kern w:val="0"/>
          <w:sz w:val="32"/>
          <w:szCs w:val="32"/>
          <w:highlight w:val="none"/>
        </w:rPr>
        <w:t>经费</w:t>
      </w:r>
      <w:r>
        <w:rPr>
          <w:rFonts w:hint="eastAsia" w:ascii="仿宋_GB2312" w:hAnsi="新宋体" w:eastAsia="仿宋_GB2312" w:cs="Tahoma"/>
          <w:kern w:val="0"/>
          <w:sz w:val="32"/>
          <w:szCs w:val="32"/>
          <w:highlight w:val="none"/>
          <w:lang w:eastAsia="zh-CN"/>
        </w:rPr>
        <w:t>增加</w:t>
      </w:r>
      <w:r>
        <w:rPr>
          <w:rFonts w:hint="eastAsia" w:ascii="仿宋_GB2312" w:hAnsi="新宋体" w:eastAsia="仿宋_GB2312" w:cs="Tahoma"/>
          <w:kern w:val="0"/>
          <w:sz w:val="32"/>
          <w:szCs w:val="32"/>
          <w:highlight w:val="none"/>
        </w:rPr>
        <w:t>。</w:t>
      </w:r>
    </w:p>
    <w:p>
      <w:pPr>
        <w:pStyle w:val="11"/>
        <w:numPr>
          <w:ilvl w:val="0"/>
          <w:numId w:val="0"/>
        </w:numPr>
        <w:spacing w:line="560" w:lineRule="exact"/>
        <w:ind w:leftChars="200"/>
        <w:rPr>
          <w:rFonts w:ascii="仿宋_GB2312" w:hAnsi="新宋体" w:eastAsia="仿宋_GB2312" w:cs="Tahoma"/>
          <w:kern w:val="0"/>
          <w:sz w:val="32"/>
          <w:szCs w:val="32"/>
          <w:highlight w:val="none"/>
        </w:rPr>
      </w:pP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三、支出情况说明</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总支出：334,111,464.29元，同比2015年减少9，862,058.38元，下降2.86%。</w:t>
      </w:r>
      <w:r>
        <w:rPr>
          <w:rFonts w:hint="eastAsia" w:ascii="仿宋_GB2312" w:hAnsi="新宋体" w:eastAsia="仿宋_GB2312" w:cs="Tahoma"/>
          <w:kern w:val="0"/>
          <w:sz w:val="32"/>
          <w:szCs w:val="32"/>
          <w:highlight w:val="none"/>
          <w:lang w:eastAsia="zh-CN"/>
        </w:rPr>
        <w:t>增减原因具体如下：</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1、基本支出 157,412,805.84元。其中：公共预算</w:t>
      </w:r>
    </w:p>
    <w:p>
      <w:pPr>
        <w:spacing w:line="560" w:lineRule="exact"/>
        <w:ind w:firstLine="960" w:firstLineChars="3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财政拨款 157,412,805.84元。同比2015年增加5,634,131.01元，增长3.71%。</w:t>
      </w:r>
      <w:r>
        <w:rPr>
          <w:rFonts w:hint="eastAsia" w:ascii="仿宋_GB2312" w:hAnsi="新宋体" w:eastAsia="仿宋_GB2312" w:cs="Tahoma"/>
          <w:kern w:val="0"/>
          <w:sz w:val="32"/>
          <w:szCs w:val="32"/>
          <w:highlight w:val="none"/>
          <w:lang w:eastAsia="zh-CN"/>
        </w:rPr>
        <w:t>增加原因：因原有人员及新进人员工资、津贴、社会保障缴费、公积金调整，</w:t>
      </w:r>
      <w:r>
        <w:rPr>
          <w:rFonts w:hint="eastAsia" w:ascii="仿宋_GB2312" w:hAnsi="新宋体" w:eastAsia="仿宋_GB2312" w:cs="Tahoma"/>
          <w:kern w:val="0"/>
          <w:sz w:val="32"/>
          <w:szCs w:val="32"/>
          <w:highlight w:val="none"/>
          <w:lang w:val="en-US" w:eastAsia="zh-CN"/>
        </w:rPr>
        <w:t>四个校区为</w:t>
      </w:r>
      <w:r>
        <w:rPr>
          <w:rFonts w:hint="eastAsia" w:ascii="仿宋_GB2312" w:hAnsi="新宋体" w:eastAsia="仿宋_GB2312" w:cs="Tahoma"/>
          <w:kern w:val="0"/>
          <w:sz w:val="32"/>
          <w:szCs w:val="32"/>
          <w:highlight w:val="none"/>
          <w:lang w:eastAsia="zh-CN"/>
        </w:rPr>
        <w:t>日常教学费用等保障学校正常运转的开支略有增长。</w:t>
      </w:r>
    </w:p>
    <w:p>
      <w:pPr>
        <w:numPr>
          <w:ilvl w:val="0"/>
          <w:numId w:val="0"/>
        </w:numPr>
        <w:spacing w:line="560" w:lineRule="exact"/>
        <w:ind w:left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lang w:val="en-US" w:eastAsia="zh-CN"/>
        </w:rPr>
        <w:t>2、</w:t>
      </w:r>
      <w:r>
        <w:rPr>
          <w:rFonts w:hint="eastAsia" w:ascii="仿宋_GB2312" w:hAnsi="新宋体" w:eastAsia="仿宋_GB2312" w:cs="Tahoma"/>
          <w:kern w:val="0"/>
          <w:sz w:val="32"/>
          <w:szCs w:val="32"/>
          <w:highlight w:val="none"/>
        </w:rPr>
        <w:t>项目支出 176,698,658.45元。同比2015年减少10,676,862.27元，下降5.69%</w:t>
      </w:r>
      <w:r>
        <w:rPr>
          <w:rFonts w:hint="eastAsia" w:ascii="仿宋_GB2312" w:hAnsi="新宋体" w:eastAsia="仿宋_GB2312" w:cs="Tahoma"/>
          <w:kern w:val="0"/>
          <w:sz w:val="32"/>
          <w:szCs w:val="32"/>
          <w:highlight w:val="none"/>
          <w:lang w:eastAsia="zh-CN"/>
        </w:rPr>
        <w:t>。</w:t>
      </w:r>
      <w:r>
        <w:rPr>
          <w:rFonts w:hint="eastAsia" w:ascii="仿宋_GB2312" w:hAnsi="新宋体" w:eastAsia="仿宋_GB2312" w:cs="Tahoma"/>
          <w:kern w:val="0"/>
          <w:sz w:val="32"/>
          <w:szCs w:val="32"/>
          <w:highlight w:val="none"/>
          <w:lang w:eastAsia="zh-CN"/>
        </w:rPr>
        <w:t>减少原因：</w:t>
      </w:r>
      <w:r>
        <w:rPr>
          <w:rFonts w:hint="eastAsia" w:ascii="仿宋_GB2312" w:hAnsi="新宋体" w:eastAsia="仿宋_GB2312" w:cs="Tahoma"/>
          <w:kern w:val="0"/>
          <w:sz w:val="32"/>
          <w:szCs w:val="32"/>
          <w:highlight w:val="none"/>
        </w:rPr>
        <w:t>由于学校新校区基建贷款随归还本金逐年减少，故</w:t>
      </w:r>
      <w:r>
        <w:rPr>
          <w:rFonts w:hint="eastAsia" w:ascii="仿宋_GB2312" w:hAnsi="新宋体" w:eastAsia="仿宋_GB2312" w:cs="Tahoma"/>
          <w:kern w:val="0"/>
          <w:sz w:val="32"/>
          <w:szCs w:val="32"/>
          <w:highlight w:val="none"/>
          <w:lang w:eastAsia="zh-CN"/>
        </w:rPr>
        <w:t>项目</w:t>
      </w:r>
      <w:r>
        <w:rPr>
          <w:rFonts w:hint="eastAsia" w:ascii="仿宋_GB2312" w:hAnsi="新宋体" w:eastAsia="仿宋_GB2312" w:cs="Tahoma"/>
          <w:kern w:val="0"/>
          <w:sz w:val="32"/>
          <w:szCs w:val="32"/>
          <w:highlight w:val="none"/>
        </w:rPr>
        <w:t>支出相关款项</w:t>
      </w:r>
      <w:r>
        <w:rPr>
          <w:rFonts w:hint="eastAsia" w:ascii="仿宋_GB2312" w:hAnsi="新宋体" w:eastAsia="仿宋_GB2312" w:cs="Tahoma"/>
          <w:kern w:val="0"/>
          <w:sz w:val="32"/>
          <w:szCs w:val="32"/>
          <w:highlight w:val="none"/>
          <w:lang w:eastAsia="zh-CN"/>
        </w:rPr>
        <w:t>相应</w:t>
      </w:r>
      <w:r>
        <w:rPr>
          <w:rFonts w:hint="eastAsia" w:ascii="仿宋_GB2312" w:hAnsi="新宋体" w:eastAsia="仿宋_GB2312" w:cs="Tahoma"/>
          <w:kern w:val="0"/>
          <w:sz w:val="32"/>
          <w:szCs w:val="32"/>
          <w:highlight w:val="none"/>
        </w:rPr>
        <w:t>减少。</w:t>
      </w:r>
    </w:p>
    <w:p>
      <w:pPr>
        <w:spacing w:line="560" w:lineRule="exact"/>
        <w:ind w:firstLine="1280" w:firstLineChars="4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其中：公共预算财政拨款项目支出 124,688,004.22元。同比2015年减少33,196,495.35元，下降21.02%。</w:t>
      </w:r>
      <w:r>
        <w:rPr>
          <w:rFonts w:hint="eastAsia" w:ascii="仿宋_GB2312" w:hAnsi="新宋体" w:eastAsia="仿宋_GB2312" w:cs="Tahoma"/>
          <w:kern w:val="0"/>
          <w:sz w:val="32"/>
          <w:szCs w:val="32"/>
          <w:highlight w:val="none"/>
        </w:rPr>
        <w:t>减少原因：由于学校新校区基建贷款随归还本金逐年减少，故项目支出相关款项相应减少。</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四、结转结余情况说明</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（一）上年结转和结余 10,651,286.85元。</w:t>
      </w:r>
    </w:p>
    <w:p>
      <w:pPr>
        <w:spacing w:line="560" w:lineRule="exact"/>
        <w:ind w:firstLine="1280" w:firstLineChars="4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其中、项目支出结转 10,651,286.85元</w:t>
      </w:r>
    </w:p>
    <w:p>
      <w:pPr>
        <w:spacing w:line="560" w:lineRule="exact"/>
        <w:ind w:firstLine="1280" w:firstLineChars="4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（二）年末结转结余14,836,462.70元</w:t>
      </w:r>
    </w:p>
    <w:p>
      <w:pPr>
        <w:spacing w:line="560" w:lineRule="exact"/>
        <w:ind w:firstLine="1280" w:firstLineChars="4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其中：基本支出结转 4,885.10元。</w:t>
      </w:r>
    </w:p>
    <w:p>
      <w:pPr>
        <w:spacing w:line="560" w:lineRule="exact"/>
        <w:ind w:firstLine="2240" w:firstLineChars="7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项目支出结转 14,831,577.60元（具体项目详见附表十、行政事业类项目收入支出决算表）。</w:t>
      </w:r>
    </w:p>
    <w:p>
      <w:pPr>
        <w:spacing w:line="560" w:lineRule="exact"/>
        <w:ind w:firstLine="2240" w:firstLineChars="700"/>
        <w:rPr>
          <w:rFonts w:ascii="仿宋_GB2312" w:hAnsi="新宋体" w:eastAsia="仿宋_GB2312" w:cs="Tahoma"/>
          <w:kern w:val="0"/>
          <w:sz w:val="32"/>
          <w:szCs w:val="32"/>
          <w:highlight w:val="none"/>
        </w:rPr>
      </w:pPr>
    </w:p>
    <w:p>
      <w:pPr>
        <w:numPr>
          <w:ilvl w:val="0"/>
          <w:numId w:val="5"/>
        </w:numPr>
        <w:spacing w:line="560" w:lineRule="exact"/>
        <w:ind w:firstLine="645"/>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“三公”经费、会议费和培训支出情况说明</w:t>
      </w:r>
    </w:p>
    <w:p>
      <w:pPr>
        <w:spacing w:line="560" w:lineRule="exact"/>
        <w:ind w:firstLine="640" w:firstLineChars="200"/>
        <w:rPr>
          <w:rFonts w:ascii="仿宋_GB2312" w:hAnsi="新宋体" w:eastAsia="仿宋_GB2312" w:cs="Tahoma"/>
          <w:color w:val="auto"/>
          <w:kern w:val="0"/>
          <w:sz w:val="32"/>
          <w:szCs w:val="32"/>
          <w:highlight w:val="none"/>
        </w:rPr>
      </w:pPr>
      <w:r>
        <w:rPr>
          <w:rFonts w:hint="eastAsia" w:ascii="仿宋_GB2312" w:hAnsi="新宋体" w:eastAsia="仿宋_GB2312" w:cs="Tahoma"/>
          <w:kern w:val="0"/>
          <w:sz w:val="32"/>
          <w:szCs w:val="32"/>
          <w:highlight w:val="none"/>
        </w:rPr>
        <w:t>（一）因公出国（境）费用256,250.95元</w:t>
      </w:r>
      <w:r>
        <w:rPr>
          <w:rFonts w:hint="eastAsia" w:ascii="仿宋_GB2312" w:hAnsi="新宋体" w:eastAsia="仿宋_GB2312" w:cs="Tahoma"/>
          <w:kern w:val="0"/>
          <w:sz w:val="32"/>
          <w:szCs w:val="32"/>
          <w:highlight w:val="none"/>
          <w:lang w:eastAsia="zh-CN"/>
        </w:rPr>
        <w:t>，</w:t>
      </w:r>
      <w:r>
        <w:rPr>
          <w:rFonts w:hint="eastAsia" w:ascii="仿宋_GB2312" w:hAnsi="新宋体" w:eastAsia="仿宋_GB2312" w:cs="Tahoma"/>
          <w:kern w:val="0"/>
          <w:sz w:val="32"/>
          <w:szCs w:val="32"/>
          <w:highlight w:val="none"/>
        </w:rPr>
        <w:t xml:space="preserve"> 因公出国（境）团组数</w:t>
      </w:r>
      <w:r>
        <w:rPr>
          <w:rFonts w:hint="eastAsia" w:ascii="仿宋_GB2312" w:hAnsi="新宋体" w:eastAsia="仿宋_GB2312" w:cs="Tahoma"/>
          <w:kern w:val="0"/>
          <w:sz w:val="32"/>
          <w:szCs w:val="32"/>
          <w:highlight w:val="none"/>
          <w:lang w:val="en-US" w:eastAsia="zh-CN"/>
        </w:rPr>
        <w:t>2</w:t>
      </w:r>
      <w:r>
        <w:rPr>
          <w:rFonts w:hint="eastAsia" w:ascii="仿宋_GB2312" w:hAnsi="新宋体" w:eastAsia="仿宋_GB2312" w:cs="Tahoma"/>
          <w:kern w:val="0"/>
          <w:sz w:val="32"/>
          <w:szCs w:val="32"/>
          <w:highlight w:val="none"/>
        </w:rPr>
        <w:t>个</w:t>
      </w:r>
      <w:r>
        <w:rPr>
          <w:rFonts w:hint="eastAsia" w:ascii="仿宋_GB2312" w:hAnsi="新宋体" w:eastAsia="仿宋_GB2312" w:cs="Tahoma"/>
          <w:kern w:val="0"/>
          <w:sz w:val="32"/>
          <w:szCs w:val="32"/>
          <w:highlight w:val="none"/>
          <w:lang w:val="en-US" w:eastAsia="zh-CN"/>
        </w:rPr>
        <w:t>10人，</w:t>
      </w:r>
      <w:r>
        <w:rPr>
          <w:rFonts w:hint="eastAsia" w:ascii="仿宋_GB2312" w:hAnsi="新宋体" w:eastAsia="仿宋_GB2312" w:cs="Tahoma"/>
          <w:color w:val="auto"/>
          <w:kern w:val="0"/>
          <w:sz w:val="32"/>
          <w:szCs w:val="32"/>
          <w:highlight w:val="none"/>
        </w:rPr>
        <w:t>同比2015年增加241,732.17元，增长1665.30%。</w:t>
      </w:r>
      <w:r>
        <w:rPr>
          <w:rFonts w:hint="eastAsia" w:ascii="仿宋_GB2312" w:hAnsi="新宋体" w:eastAsia="仿宋_GB2312" w:cs="Tahoma"/>
          <w:color w:val="auto"/>
          <w:kern w:val="0"/>
          <w:sz w:val="32"/>
          <w:szCs w:val="32"/>
          <w:highlight w:val="none"/>
          <w:lang w:eastAsia="zh-CN"/>
        </w:rPr>
        <w:t>增加原因：</w:t>
      </w:r>
      <w:r>
        <w:rPr>
          <w:rFonts w:hint="eastAsia" w:ascii="仿宋_GB2312" w:hAnsi="新宋体" w:eastAsia="仿宋_GB2312" w:cs="Tahoma"/>
          <w:color w:val="auto"/>
          <w:kern w:val="0"/>
          <w:sz w:val="32"/>
          <w:szCs w:val="32"/>
          <w:highlight w:val="none"/>
        </w:rPr>
        <w:t>本年度出国人员均按</w:t>
      </w:r>
      <w:r>
        <w:rPr>
          <w:rFonts w:hint="eastAsia" w:ascii="仿宋_GB2312" w:hAnsi="新宋体" w:eastAsia="仿宋_GB2312" w:cs="Tahoma"/>
          <w:color w:val="auto"/>
          <w:kern w:val="0"/>
          <w:sz w:val="32"/>
          <w:szCs w:val="32"/>
          <w:highlight w:val="none"/>
        </w:rPr>
        <w:t>照</w:t>
      </w:r>
      <w:r>
        <w:rPr>
          <w:rFonts w:hint="eastAsia" w:ascii="仿宋_GB2312" w:hAnsi="新宋体" w:eastAsia="仿宋_GB2312" w:cs="Tahoma"/>
          <w:color w:val="auto"/>
          <w:kern w:val="0"/>
          <w:sz w:val="32"/>
          <w:szCs w:val="32"/>
          <w:highlight w:val="none"/>
          <w:lang w:eastAsia="zh-CN"/>
        </w:rPr>
        <w:t>学校业务需要</w:t>
      </w:r>
      <w:r>
        <w:rPr>
          <w:rFonts w:hint="eastAsia" w:ascii="仿宋_GB2312" w:hAnsi="新宋体" w:eastAsia="仿宋_GB2312" w:cs="Tahoma"/>
          <w:color w:val="auto"/>
          <w:kern w:val="0"/>
          <w:sz w:val="32"/>
          <w:szCs w:val="32"/>
          <w:highlight w:val="none"/>
        </w:rPr>
        <w:t>经过相关部门严格审批出行。</w:t>
      </w:r>
    </w:p>
    <w:p>
      <w:pPr>
        <w:spacing w:line="560" w:lineRule="exact"/>
        <w:ind w:firstLine="640" w:firstLineChars="200"/>
        <w:rPr>
          <w:rFonts w:ascii="仿宋_GB2312" w:hAnsi="新宋体" w:eastAsia="仿宋_GB2312" w:cs="Tahoma"/>
          <w:color w:val="auto"/>
          <w:kern w:val="0"/>
          <w:sz w:val="32"/>
          <w:szCs w:val="32"/>
          <w:highlight w:val="none"/>
        </w:rPr>
      </w:pPr>
      <w:r>
        <w:rPr>
          <w:rFonts w:hint="eastAsia" w:ascii="仿宋_GB2312" w:hAnsi="新宋体" w:eastAsia="仿宋_GB2312" w:cs="Tahoma"/>
          <w:color w:val="auto"/>
          <w:kern w:val="0"/>
          <w:sz w:val="32"/>
          <w:szCs w:val="32"/>
          <w:highlight w:val="none"/>
        </w:rPr>
        <w:t>（二）公务接待费8,099.00元</w:t>
      </w:r>
      <w:r>
        <w:rPr>
          <w:rFonts w:hint="eastAsia" w:ascii="仿宋_GB2312" w:hAnsi="新宋体" w:eastAsia="仿宋_GB2312" w:cs="Tahoma"/>
          <w:color w:val="auto"/>
          <w:kern w:val="0"/>
          <w:sz w:val="32"/>
          <w:szCs w:val="32"/>
          <w:highlight w:val="none"/>
          <w:lang w:eastAsia="zh-CN"/>
        </w:rPr>
        <w:t>，</w:t>
      </w:r>
      <w:r>
        <w:rPr>
          <w:rFonts w:hint="eastAsia" w:ascii="仿宋_GB2312" w:hAnsi="新宋体" w:eastAsia="仿宋_GB2312" w:cs="Tahoma"/>
          <w:color w:val="auto"/>
          <w:kern w:val="0"/>
          <w:sz w:val="32"/>
          <w:szCs w:val="32"/>
          <w:highlight w:val="none"/>
          <w:lang w:eastAsia="zh-CN"/>
        </w:rPr>
        <w:t>公务接待批次为</w:t>
      </w:r>
      <w:r>
        <w:rPr>
          <w:rFonts w:hint="eastAsia" w:ascii="仿宋_GB2312" w:hAnsi="新宋体" w:eastAsia="仿宋_GB2312" w:cs="Tahoma"/>
          <w:color w:val="auto"/>
          <w:kern w:val="0"/>
          <w:sz w:val="32"/>
          <w:szCs w:val="32"/>
          <w:highlight w:val="none"/>
          <w:lang w:val="en-US" w:eastAsia="zh-CN"/>
        </w:rPr>
        <w:t>11批65人</w:t>
      </w:r>
      <w:r>
        <w:rPr>
          <w:rFonts w:hint="eastAsia" w:ascii="仿宋_GB2312" w:hAnsi="新宋体" w:eastAsia="仿宋_GB2312" w:cs="Tahoma"/>
          <w:color w:val="auto"/>
          <w:kern w:val="0"/>
          <w:sz w:val="32"/>
          <w:szCs w:val="32"/>
          <w:highlight w:val="none"/>
          <w:lang w:val="en-US" w:eastAsia="zh-CN"/>
        </w:rPr>
        <w:t>，</w:t>
      </w:r>
      <w:r>
        <w:rPr>
          <w:rFonts w:hint="eastAsia" w:ascii="仿宋_GB2312" w:hAnsi="新宋体" w:eastAsia="仿宋_GB2312" w:cs="Tahoma"/>
          <w:color w:val="auto"/>
          <w:kern w:val="0"/>
          <w:sz w:val="32"/>
          <w:szCs w:val="32"/>
          <w:highlight w:val="none"/>
        </w:rPr>
        <w:t>同比2015年减少1,890元，</w:t>
      </w:r>
      <w:r>
        <w:rPr>
          <w:rFonts w:hint="eastAsia" w:ascii="仿宋_GB2312" w:hAnsi="新宋体" w:eastAsia="仿宋_GB2312" w:cs="Tahoma"/>
          <w:color w:val="auto"/>
          <w:kern w:val="0"/>
          <w:sz w:val="32"/>
          <w:szCs w:val="32"/>
          <w:highlight w:val="none"/>
          <w:lang w:eastAsia="zh-CN"/>
        </w:rPr>
        <w:t>减少</w:t>
      </w:r>
      <w:r>
        <w:rPr>
          <w:rFonts w:hint="eastAsia" w:ascii="仿宋_GB2312" w:hAnsi="新宋体" w:eastAsia="仿宋_GB2312" w:cs="Tahoma"/>
          <w:color w:val="auto"/>
          <w:kern w:val="0"/>
          <w:sz w:val="32"/>
          <w:szCs w:val="32"/>
          <w:highlight w:val="none"/>
        </w:rPr>
        <w:t>原因：</w:t>
      </w:r>
      <w:r>
        <w:rPr>
          <w:rFonts w:hint="eastAsia" w:ascii="仿宋_GB2312" w:hAnsi="新宋体" w:eastAsia="仿宋_GB2312" w:cs="Tahoma"/>
          <w:color w:val="auto"/>
          <w:kern w:val="0"/>
          <w:sz w:val="32"/>
          <w:szCs w:val="32"/>
          <w:highlight w:val="none"/>
        </w:rPr>
        <w:t>本年度学校严格控制公务接待活动及接待人员，接待标准等。</w:t>
      </w:r>
    </w:p>
    <w:p>
      <w:pPr>
        <w:spacing w:line="560" w:lineRule="exact"/>
        <w:ind w:firstLine="320" w:firstLineChars="1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（三）公务用车购置及运行维护费851,414.30元</w:t>
      </w:r>
    </w:p>
    <w:p>
      <w:pPr>
        <w:spacing w:line="560" w:lineRule="exact"/>
        <w:ind w:left="958" w:leftChars="304" w:hanging="320" w:hangingChars="1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其中：1、公务用车运行维护费851,414.30元；主要用</w:t>
      </w:r>
    </w:p>
    <w:p>
      <w:pPr>
        <w:spacing w:line="560" w:lineRule="exact"/>
        <w:rPr>
          <w:rFonts w:ascii="仿宋_GB2312" w:hAnsi="新宋体" w:eastAsia="仿宋_GB2312" w:cs="Tahoma"/>
          <w:color w:val="auto"/>
          <w:kern w:val="0"/>
          <w:sz w:val="32"/>
          <w:szCs w:val="32"/>
          <w:highlight w:val="none"/>
        </w:rPr>
      </w:pPr>
      <w:r>
        <w:rPr>
          <w:rFonts w:hint="eastAsia" w:ascii="仿宋_GB2312" w:hAnsi="新宋体" w:eastAsia="仿宋_GB2312" w:cs="Tahoma"/>
          <w:kern w:val="0"/>
          <w:sz w:val="32"/>
          <w:szCs w:val="32"/>
          <w:highlight w:val="none"/>
        </w:rPr>
        <w:t>于我校日常办公、教学运转等方面公务用车的燃料费、修理费、保险费、过桥过路费、通行费等支出；</w:t>
      </w:r>
      <w:r>
        <w:rPr>
          <w:rFonts w:hint="eastAsia" w:ascii="仿宋_GB2312" w:hAnsi="新宋体" w:eastAsia="仿宋_GB2312" w:cs="Tahoma"/>
          <w:color w:val="auto"/>
          <w:kern w:val="0"/>
          <w:sz w:val="32"/>
          <w:szCs w:val="32"/>
          <w:highlight w:val="none"/>
        </w:rPr>
        <w:t>同比2015年少324，808.31元，降低27.61%，</w:t>
      </w:r>
      <w:r>
        <w:rPr>
          <w:rFonts w:hint="eastAsia" w:ascii="仿宋_GB2312" w:hAnsi="新宋体" w:eastAsia="仿宋_GB2312" w:cs="Tahoma"/>
          <w:color w:val="auto"/>
          <w:kern w:val="0"/>
          <w:sz w:val="32"/>
          <w:szCs w:val="32"/>
          <w:highlight w:val="none"/>
        </w:rPr>
        <w:t>减少原因：</w:t>
      </w:r>
      <w:r>
        <w:rPr>
          <w:rFonts w:hint="eastAsia" w:ascii="仿宋_GB2312" w:hAnsi="新宋体" w:eastAsia="仿宋_GB2312" w:cs="Tahoma"/>
          <w:color w:val="auto"/>
          <w:kern w:val="0"/>
          <w:sz w:val="32"/>
          <w:szCs w:val="32"/>
          <w:highlight w:val="none"/>
        </w:rPr>
        <w:t>本年度学校严格控制公务用车的燃料费、修理费、保险费、过桥过路费、通行费等支出。</w:t>
      </w:r>
    </w:p>
    <w:p>
      <w:pPr>
        <w:spacing w:line="560" w:lineRule="exact"/>
        <w:ind w:firstLine="640" w:firstLineChars="200"/>
        <w:rPr>
          <w:rFonts w:hint="eastAsia" w:ascii="仿宋_GB2312" w:hAnsi="新宋体" w:eastAsia="仿宋_GB2312" w:cs="Tahoma"/>
          <w:color w:val="auto"/>
          <w:kern w:val="0"/>
          <w:sz w:val="32"/>
          <w:szCs w:val="32"/>
          <w:highlight w:val="none"/>
          <w:lang w:val="en-US" w:eastAsia="zh-CN"/>
        </w:rPr>
      </w:pPr>
      <w:r>
        <w:rPr>
          <w:rFonts w:hint="eastAsia" w:ascii="仿宋_GB2312" w:hAnsi="新宋体" w:eastAsia="仿宋_GB2312" w:cs="Tahoma"/>
          <w:color w:val="auto"/>
          <w:kern w:val="0"/>
          <w:sz w:val="32"/>
          <w:szCs w:val="32"/>
          <w:highlight w:val="none"/>
        </w:rPr>
        <w:t>2、公务用车购置费0元，同比2015年无变化。</w:t>
      </w:r>
      <w:r>
        <w:rPr>
          <w:rFonts w:hint="eastAsia" w:ascii="仿宋_GB2312" w:hAnsi="新宋体" w:eastAsia="仿宋_GB2312" w:cs="Tahoma"/>
          <w:color w:val="auto"/>
          <w:kern w:val="0"/>
          <w:sz w:val="32"/>
          <w:szCs w:val="32"/>
          <w:highlight w:val="none"/>
        </w:rPr>
        <w:t>公务用车保有量</w:t>
      </w:r>
      <w:r>
        <w:rPr>
          <w:rFonts w:hint="eastAsia" w:ascii="仿宋_GB2312" w:hAnsi="新宋体" w:eastAsia="仿宋_GB2312" w:cs="Tahoma"/>
          <w:color w:val="auto"/>
          <w:kern w:val="0"/>
          <w:sz w:val="32"/>
          <w:szCs w:val="32"/>
          <w:highlight w:val="none"/>
          <w:lang w:eastAsia="zh-CN"/>
        </w:rPr>
        <w:t>为</w:t>
      </w:r>
      <w:r>
        <w:rPr>
          <w:rFonts w:hint="eastAsia" w:ascii="仿宋_GB2312" w:hAnsi="新宋体" w:eastAsia="仿宋_GB2312" w:cs="Tahoma"/>
          <w:color w:val="auto"/>
          <w:kern w:val="0"/>
          <w:sz w:val="32"/>
          <w:szCs w:val="32"/>
          <w:highlight w:val="none"/>
          <w:lang w:val="en-US" w:eastAsia="zh-CN"/>
        </w:rPr>
        <w:t>25两，</w:t>
      </w:r>
      <w:r>
        <w:rPr>
          <w:rFonts w:hint="eastAsia" w:ascii="仿宋_GB2312" w:hAnsi="新宋体" w:eastAsia="仿宋_GB2312" w:cs="Tahoma"/>
          <w:color w:val="auto"/>
          <w:kern w:val="0"/>
          <w:sz w:val="32"/>
          <w:szCs w:val="32"/>
          <w:highlight w:val="none"/>
        </w:rPr>
        <w:t>同比2015年无变化</w:t>
      </w:r>
      <w:r>
        <w:rPr>
          <w:rFonts w:hint="eastAsia" w:ascii="仿宋_GB2312" w:hAnsi="新宋体" w:eastAsia="仿宋_GB2312" w:cs="Tahoma"/>
          <w:color w:val="auto"/>
          <w:kern w:val="0"/>
          <w:sz w:val="32"/>
          <w:szCs w:val="32"/>
          <w:highlight w:val="none"/>
          <w:lang w:eastAsia="zh-CN"/>
        </w:rPr>
        <w:t>。</w:t>
      </w:r>
    </w:p>
    <w:p>
      <w:pPr>
        <w:spacing w:line="560" w:lineRule="exact"/>
        <w:ind w:firstLine="320" w:firstLineChars="100"/>
        <w:rPr>
          <w:rFonts w:ascii="仿宋_GB2312" w:hAnsi="新宋体" w:eastAsia="仿宋_GB2312" w:cs="Tahoma"/>
          <w:color w:val="auto"/>
          <w:kern w:val="0"/>
          <w:sz w:val="32"/>
          <w:szCs w:val="32"/>
          <w:highlight w:val="none"/>
        </w:rPr>
      </w:pPr>
      <w:r>
        <w:rPr>
          <w:rFonts w:hint="eastAsia" w:ascii="仿宋_GB2312" w:hAnsi="新宋体" w:eastAsia="仿宋_GB2312" w:cs="Tahoma"/>
          <w:color w:val="auto"/>
          <w:kern w:val="0"/>
          <w:sz w:val="32"/>
          <w:szCs w:val="32"/>
          <w:highlight w:val="none"/>
        </w:rPr>
        <w:t>（四）会议费支出0元，同比2015年无变化。</w:t>
      </w:r>
    </w:p>
    <w:p>
      <w:pPr>
        <w:spacing w:line="560" w:lineRule="exact"/>
        <w:ind w:left="319" w:leftChars="152"/>
        <w:rPr>
          <w:rFonts w:ascii="仿宋_GB2312" w:hAnsi="新宋体" w:eastAsia="仿宋_GB2312" w:cs="Tahoma"/>
          <w:color w:val="auto"/>
          <w:kern w:val="0"/>
          <w:sz w:val="32"/>
          <w:szCs w:val="32"/>
          <w:highlight w:val="none"/>
        </w:rPr>
      </w:pPr>
      <w:r>
        <w:rPr>
          <w:rFonts w:hint="eastAsia" w:ascii="仿宋_GB2312" w:hAnsi="新宋体" w:eastAsia="仿宋_GB2312" w:cs="Tahoma"/>
          <w:kern w:val="0"/>
          <w:sz w:val="32"/>
          <w:szCs w:val="32"/>
          <w:highlight w:val="none"/>
        </w:rPr>
        <w:t>（五）培训费支出：879,989.50元，</w:t>
      </w:r>
      <w:r>
        <w:rPr>
          <w:rFonts w:hint="eastAsia" w:ascii="仿宋_GB2312" w:hAnsi="新宋体" w:eastAsia="仿宋_GB2312" w:cs="Tahoma"/>
          <w:color w:val="auto"/>
          <w:kern w:val="0"/>
          <w:sz w:val="32"/>
          <w:szCs w:val="32"/>
          <w:highlight w:val="none"/>
        </w:rPr>
        <w:t>同比2015年增加351,414.80元，增长66.6%。</w:t>
      </w:r>
      <w:r>
        <w:rPr>
          <w:rFonts w:hint="eastAsia" w:ascii="仿宋_GB2312" w:hAnsi="新宋体" w:eastAsia="仿宋_GB2312" w:cs="Tahoma"/>
          <w:color w:val="auto"/>
          <w:kern w:val="0"/>
          <w:sz w:val="32"/>
          <w:szCs w:val="32"/>
          <w:highlight w:val="none"/>
        </w:rPr>
        <w:t>增加原因：</w:t>
      </w:r>
      <w:r>
        <w:rPr>
          <w:rFonts w:hint="eastAsia" w:ascii="仿宋_GB2312" w:hAnsi="新宋体" w:eastAsia="仿宋_GB2312" w:cs="Tahoma"/>
          <w:color w:val="auto"/>
          <w:kern w:val="0"/>
          <w:sz w:val="32"/>
          <w:szCs w:val="32"/>
          <w:highlight w:val="none"/>
        </w:rPr>
        <w:t>本年度为积极申报本科院校提高学校办学质量，加大教师培训力度。</w:t>
      </w:r>
    </w:p>
    <w:p>
      <w:pPr>
        <w:widowControl/>
        <w:numPr>
          <w:ilvl w:val="0"/>
          <w:numId w:val="6"/>
        </w:numPr>
        <w:spacing w:line="560" w:lineRule="exact"/>
        <w:ind w:firstLine="630"/>
        <w:jc w:val="lef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部门预算执行情况分析说明</w:t>
      </w:r>
    </w:p>
    <w:p>
      <w:pPr>
        <w:widowControl/>
        <w:spacing w:line="560" w:lineRule="exact"/>
        <w:jc w:val="lef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部门预算中基本支出预算执行率为100%。</w:t>
      </w:r>
    </w:p>
    <w:p>
      <w:pPr>
        <w:widowControl/>
        <w:spacing w:line="560" w:lineRule="exact"/>
        <w:ind w:firstLine="630"/>
        <w:jc w:val="left"/>
        <w:rPr>
          <w:rFonts w:ascii="仿宋_GB2312" w:hAnsi="新宋体" w:eastAsia="仿宋_GB2312" w:cs="Tahoma"/>
          <w:kern w:val="0"/>
          <w:sz w:val="32"/>
          <w:szCs w:val="32"/>
          <w:highlight w:val="none"/>
        </w:rPr>
      </w:pPr>
      <w:r>
        <w:rPr>
          <w:rFonts w:hint="eastAsia" w:ascii="仿宋_GB2312" w:hAnsi="宋体" w:eastAsia="仿宋_GB2312" w:cs="宋体"/>
          <w:kern w:val="0"/>
          <w:sz w:val="32"/>
          <w:szCs w:val="32"/>
          <w:highlight w:val="none"/>
        </w:rPr>
        <w:t>七、其他重要事项的情况说明</w:t>
      </w:r>
    </w:p>
    <w:p>
      <w:pPr>
        <w:spacing w:line="560" w:lineRule="exact"/>
        <w:ind w:firstLine="640" w:firstLineChars="200"/>
        <w:rPr>
          <w:rFonts w:hint="eastAsia" w:ascii="新宋体" w:hAnsi="新宋体" w:eastAsia="仿宋_GB2312" w:cs="Tahoma"/>
          <w:color w:val="auto"/>
          <w:kern w:val="0"/>
          <w:sz w:val="32"/>
          <w:szCs w:val="32"/>
          <w:highlight w:val="none"/>
        </w:rPr>
      </w:pPr>
      <w:r>
        <w:rPr>
          <w:rFonts w:hint="eastAsia" w:ascii="新宋体" w:hAnsi="新宋体" w:eastAsia="仿宋_GB2312" w:cs="Tahoma"/>
          <w:color w:val="auto"/>
          <w:kern w:val="0"/>
          <w:sz w:val="32"/>
          <w:szCs w:val="32"/>
          <w:highlight w:val="none"/>
        </w:rPr>
        <w:t>（一）机关运行经费支出情况说明</w:t>
      </w:r>
    </w:p>
    <w:p>
      <w:pPr>
        <w:spacing w:line="560" w:lineRule="exact"/>
        <w:ind w:firstLine="640" w:firstLineChars="200"/>
        <w:rPr>
          <w:rFonts w:hint="eastAsia" w:ascii="新宋体" w:hAnsi="新宋体" w:eastAsia="仿宋_GB2312" w:cs="Tahoma"/>
          <w:color w:val="auto"/>
          <w:kern w:val="0"/>
          <w:sz w:val="32"/>
          <w:szCs w:val="32"/>
          <w:highlight w:val="none"/>
        </w:rPr>
      </w:pPr>
      <w:r>
        <w:rPr>
          <w:rFonts w:hint="eastAsia" w:ascii="新宋体" w:hAnsi="新宋体" w:eastAsia="仿宋_GB2312" w:cs="Tahoma"/>
          <w:color w:val="auto"/>
          <w:kern w:val="0"/>
          <w:sz w:val="32"/>
          <w:szCs w:val="32"/>
          <w:highlight w:val="none"/>
        </w:rPr>
        <w:t>本年支出34,591,568.95元，同比2015年增加7，707，563.75万元，增长了28.66%。增加原因：主要是校区多，运营成本加大，新校区采用电采暖电费1，893，501.81元，</w:t>
      </w:r>
      <w:bookmarkStart w:id="0" w:name="_GoBack"/>
      <w:bookmarkEnd w:id="0"/>
      <w:r>
        <w:rPr>
          <w:rFonts w:hint="eastAsia" w:ascii="新宋体" w:hAnsi="新宋体" w:eastAsia="仿宋_GB2312" w:cs="Tahoma"/>
          <w:color w:val="auto"/>
          <w:kern w:val="0"/>
          <w:sz w:val="32"/>
          <w:szCs w:val="32"/>
          <w:highlight w:val="none"/>
        </w:rPr>
        <w:t>水费增加415,087.37元，取暖费增加1,478,228.79元，物业管理费增加1,040,350.93元等等。</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（二）国有资产占用情况说明:</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资产总额年末数：832,231,629.11元(账面数)</w:t>
      </w:r>
    </w:p>
    <w:p>
      <w:pPr>
        <w:spacing w:line="560" w:lineRule="exact"/>
        <w:ind w:firstLine="640" w:firstLineChars="200"/>
        <w:rPr>
          <w:rFonts w:hint="eastAsia"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其中：流动资产111,398,866.40元</w:t>
      </w:r>
    </w:p>
    <w:p>
      <w:pPr>
        <w:spacing w:line="560" w:lineRule="exact"/>
        <w:ind w:firstLine="1920" w:firstLineChars="6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固定资产716,820,834.09元</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长期投资2,397,476.18元</w:t>
      </w:r>
    </w:p>
    <w:p>
      <w:pPr>
        <w:spacing w:line="560" w:lineRule="exact"/>
        <w:ind w:firstLine="1920" w:firstLineChars="6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在建工程 1,614,452.44元</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因为财政部汇决算时调整双分录公式等问题，批</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复后决算资产数据为；</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资产总额年末数：833,846,081.55元(批复数)</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其中：流动资产113,013,318.84元</w:t>
      </w:r>
    </w:p>
    <w:p>
      <w:pPr>
        <w:spacing w:line="560" w:lineRule="exact"/>
        <w:ind w:firstLine="2240" w:firstLineChars="7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固定资产716,820,834.09元</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长期投资2,397,476.18元</w:t>
      </w:r>
    </w:p>
    <w:p>
      <w:pPr>
        <w:spacing w:line="560" w:lineRule="exact"/>
        <w:ind w:firstLine="1920" w:firstLineChars="6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在建工程 1,614,452.44元</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批复后数据比账面数流动资产增加1,614,452.44元，</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非流动资产基金增加1,614,452.44元，特此说明。</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（三）对已进行预算绩效管理工作（整体支出绩效和项</w:t>
      </w:r>
    </w:p>
    <w:p>
      <w:pPr>
        <w:spacing w:line="560" w:lineRule="exact"/>
        <w:ind w:firstLine="640" w:firstLineChars="2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目支出绩效）开展情况说明</w:t>
      </w:r>
    </w:p>
    <w:p>
      <w:pPr>
        <w:spacing w:line="560" w:lineRule="exact"/>
        <w:ind w:firstLine="960" w:firstLineChars="3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根据年初预算，年末圆满完成年初项目制定的目标要求，保质、保量的完成，取得良好社会效益。对项目资金按项目单独核算，实行“专款专用、专人管理”，行政运行费不得挤占、挪用项目资金。强化监督项目的正常实施。</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w:t>
      </w:r>
      <w:r>
        <w:rPr>
          <w:rFonts w:hint="eastAsia" w:ascii="仿宋_GB2312" w:hAnsi="新宋体" w:eastAsia="仿宋_GB2312" w:cs="Tahoma"/>
          <w:kern w:val="0"/>
          <w:sz w:val="32"/>
          <w:szCs w:val="32"/>
          <w:highlight w:val="none"/>
          <w:lang w:val="en-US" w:eastAsia="zh-CN"/>
        </w:rPr>
        <w:t xml:space="preserve"> </w:t>
      </w:r>
      <w:r>
        <w:rPr>
          <w:rFonts w:hint="eastAsia" w:ascii="仿宋_GB2312" w:hAnsi="新宋体" w:eastAsia="仿宋_GB2312" w:cs="Tahoma"/>
          <w:kern w:val="0"/>
          <w:sz w:val="32"/>
          <w:szCs w:val="32"/>
          <w:highlight w:val="none"/>
        </w:rPr>
        <w:t>（四）政府采购执行情况说明：</w:t>
      </w:r>
    </w:p>
    <w:p>
      <w:pPr>
        <w:spacing w:line="560" w:lineRule="exact"/>
        <w:rPr>
          <w:rFonts w:hint="eastAsia" w:ascii="仿宋_GB2312" w:hAnsi="新宋体" w:eastAsia="仿宋_GB2312" w:cs="Tahoma"/>
          <w:color w:val="auto"/>
          <w:kern w:val="0"/>
          <w:sz w:val="32"/>
          <w:szCs w:val="32"/>
          <w:highlight w:val="none"/>
        </w:rPr>
      </w:pPr>
      <w:r>
        <w:rPr>
          <w:rFonts w:hint="eastAsia" w:ascii="仿宋_GB2312" w:hAnsi="新宋体" w:eastAsia="仿宋_GB2312" w:cs="Tahoma"/>
          <w:kern w:val="0"/>
          <w:sz w:val="32"/>
          <w:szCs w:val="32"/>
          <w:highlight w:val="none"/>
        </w:rPr>
        <w:t xml:space="preserve">       </w:t>
      </w:r>
      <w:r>
        <w:rPr>
          <w:rFonts w:hint="eastAsia" w:ascii="仿宋_GB2312" w:hAnsi="新宋体" w:eastAsia="仿宋_GB2312" w:cs="Tahoma"/>
          <w:color w:val="auto"/>
          <w:kern w:val="0"/>
          <w:sz w:val="32"/>
          <w:szCs w:val="32"/>
          <w:highlight w:val="none"/>
        </w:rPr>
        <w:t>本年度政府采购执行数为20,859,985.66元，含货</w:t>
      </w:r>
    </w:p>
    <w:p>
      <w:pPr>
        <w:spacing w:line="560" w:lineRule="exact"/>
        <w:rPr>
          <w:rFonts w:ascii="仿宋_GB2312" w:hAnsi="新宋体" w:eastAsia="仿宋_GB2312" w:cs="Tahoma"/>
          <w:color w:val="auto"/>
          <w:kern w:val="0"/>
          <w:sz w:val="32"/>
          <w:szCs w:val="32"/>
          <w:highlight w:val="none"/>
        </w:rPr>
      </w:pPr>
      <w:r>
        <w:rPr>
          <w:rFonts w:hint="eastAsia" w:ascii="仿宋_GB2312" w:hAnsi="新宋体" w:eastAsia="仿宋_GB2312" w:cs="Tahoma"/>
          <w:color w:val="auto"/>
          <w:kern w:val="0"/>
          <w:sz w:val="32"/>
          <w:szCs w:val="32"/>
          <w:highlight w:val="none"/>
        </w:rPr>
        <w:t>物10,207,614.80元，工程6,583,038.64元，服务4,069,332.22元；其中一般公共预算拨款：1,895,713.00元。其他资金18,964,272.66元，非财政性资金56,070.00元。</w:t>
      </w:r>
    </w:p>
    <w:p>
      <w:pPr>
        <w:spacing w:line="560" w:lineRule="exact"/>
        <w:rPr>
          <w:rFonts w:ascii="仿宋_GB2312" w:hAnsi="新宋体" w:eastAsia="仿宋_GB2312" w:cs="Tahoma"/>
          <w:b/>
          <w:kern w:val="0"/>
          <w:sz w:val="32"/>
          <w:szCs w:val="32"/>
          <w:highlight w:val="none"/>
        </w:rPr>
      </w:pPr>
      <w:r>
        <w:rPr>
          <w:rFonts w:hint="eastAsia" w:ascii="仿宋_GB2312" w:hAnsi="新宋体" w:eastAsia="仿宋_GB2312" w:cs="Tahoma"/>
          <w:kern w:val="0"/>
          <w:sz w:val="32"/>
          <w:szCs w:val="32"/>
          <w:highlight w:val="none"/>
        </w:rPr>
        <w:t xml:space="preserve">   </w:t>
      </w:r>
      <w:r>
        <w:rPr>
          <w:rFonts w:hint="eastAsia" w:ascii="仿宋_GB2312" w:hAnsi="新宋体" w:eastAsia="仿宋_GB2312" w:cs="Tahoma"/>
          <w:b/>
          <w:kern w:val="0"/>
          <w:sz w:val="32"/>
          <w:szCs w:val="32"/>
          <w:highlight w:val="none"/>
        </w:rPr>
        <w:t xml:space="preserve">八、专业名词解释 </w:t>
      </w:r>
    </w:p>
    <w:p>
      <w:pPr>
        <w:spacing w:line="560" w:lineRule="exact"/>
        <w:ind w:firstLine="66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“三公”经费是：因公出国（境）费、公务接待费和公务用车购置及运行维护费。</w:t>
      </w:r>
    </w:p>
    <w:p>
      <w:pPr>
        <w:spacing w:line="560" w:lineRule="exact"/>
        <w:ind w:firstLine="660"/>
        <w:rPr>
          <w:rFonts w:hint="eastAsia"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“机关运行经费”是：行政单位和参照公务员法管理的事业单位使用一般公共预算财政拨款安排的基本支出中的日常公用经费支出。 </w:t>
      </w:r>
    </w:p>
    <w:p>
      <w:pPr>
        <w:spacing w:line="560" w:lineRule="exact"/>
        <w:ind w:firstLine="660"/>
        <w:rPr>
          <w:rFonts w:hint="eastAsia" w:ascii="仿宋_GB2312" w:hAnsi="新宋体" w:eastAsia="仿宋_GB2312" w:cs="Tahoma"/>
          <w:kern w:val="0"/>
          <w:sz w:val="32"/>
          <w:szCs w:val="32"/>
          <w:highlight w:val="none"/>
        </w:rPr>
      </w:pP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b/>
          <w:kern w:val="0"/>
          <w:sz w:val="32"/>
          <w:szCs w:val="32"/>
          <w:highlight w:val="none"/>
        </w:rPr>
        <w:t xml:space="preserve">   </w:t>
      </w:r>
      <w:r>
        <w:rPr>
          <w:rFonts w:hint="eastAsia" w:ascii="仿宋_GB2312" w:hAnsi="新宋体" w:eastAsia="仿宋_GB2312" w:cs="Tahoma"/>
          <w:kern w:val="0"/>
          <w:sz w:val="32"/>
          <w:szCs w:val="32"/>
          <w:highlight w:val="none"/>
        </w:rPr>
        <w:t>附件：1.乌鲁木齐职业大学2016年度决算报表</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2.2016年乌鲁木齐职业大学财政拨款“三公”经费及说明</w:t>
      </w:r>
    </w:p>
    <w:p>
      <w:pPr>
        <w:spacing w:line="560" w:lineRule="exact"/>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 xml:space="preserve">                  </w:t>
      </w:r>
    </w:p>
    <w:p>
      <w:pPr>
        <w:spacing w:line="560" w:lineRule="exact"/>
        <w:ind w:firstLine="4480" w:firstLineChars="1400"/>
        <w:rPr>
          <w:rFonts w:ascii="仿宋_GB2312" w:hAnsi="新宋体" w:eastAsia="仿宋_GB2312" w:cs="Tahoma"/>
          <w:kern w:val="0"/>
          <w:sz w:val="32"/>
          <w:szCs w:val="32"/>
          <w:highlight w:val="none"/>
        </w:rPr>
      </w:pPr>
    </w:p>
    <w:p>
      <w:pPr>
        <w:spacing w:line="560" w:lineRule="exact"/>
        <w:ind w:firstLine="4480" w:firstLineChars="1400"/>
        <w:rPr>
          <w:rFonts w:ascii="仿宋_GB2312" w:hAnsi="新宋体" w:eastAsia="仿宋_GB2312" w:cs="Tahoma"/>
          <w:kern w:val="0"/>
          <w:sz w:val="32"/>
          <w:szCs w:val="32"/>
          <w:highlight w:val="none"/>
        </w:rPr>
      </w:pPr>
    </w:p>
    <w:p>
      <w:pPr>
        <w:spacing w:line="560" w:lineRule="exact"/>
        <w:ind w:firstLine="5120" w:firstLineChars="1600"/>
        <w:rPr>
          <w:rFonts w:ascii="仿宋_GB2312" w:hAnsi="新宋体" w:eastAsia="仿宋_GB2312" w:cs="Tahoma"/>
          <w:kern w:val="0"/>
          <w:sz w:val="32"/>
          <w:szCs w:val="32"/>
          <w:highlight w:val="none"/>
        </w:rPr>
      </w:pPr>
      <w:r>
        <w:rPr>
          <w:rFonts w:hint="eastAsia" w:ascii="仿宋_GB2312" w:hAnsi="新宋体" w:eastAsia="仿宋_GB2312" w:cs="Tahoma"/>
          <w:kern w:val="0"/>
          <w:sz w:val="32"/>
          <w:szCs w:val="32"/>
          <w:highlight w:val="none"/>
        </w:rPr>
        <w:t>2017年7月3日</w:t>
      </w:r>
    </w:p>
    <w:p>
      <w:pPr>
        <w:spacing w:line="560" w:lineRule="exact"/>
        <w:rPr>
          <w:rFonts w:ascii="方正仿宋_GBK" w:hAnsi="Calibri" w:eastAsia="方正仿宋_GBK" w:cs="Times New Roman"/>
          <w:sz w:val="32"/>
          <w:szCs w:val="32"/>
          <w:highlight w:val="none"/>
        </w:rPr>
      </w:pPr>
    </w:p>
    <w:p>
      <w:pPr>
        <w:spacing w:line="560" w:lineRule="exact"/>
        <w:rPr>
          <w:rFonts w:ascii="方正仿宋_GBK" w:hAnsi="Calibri" w:eastAsia="方正仿宋_GBK" w:cs="Times New Roman"/>
          <w:sz w:val="32"/>
          <w:szCs w:val="32"/>
          <w:highlight w:val="none"/>
        </w:rPr>
      </w:pPr>
    </w:p>
    <w:p>
      <w:pPr>
        <w:spacing w:line="560" w:lineRule="exact"/>
        <w:rPr>
          <w:rFonts w:ascii="方正仿宋_GBK" w:hAnsi="Calibri" w:eastAsia="方正仿宋_GBK" w:cs="Times New Roman"/>
          <w:sz w:val="32"/>
          <w:szCs w:val="32"/>
          <w:highlight w:val="none"/>
        </w:rPr>
      </w:pPr>
    </w:p>
    <w:p>
      <w:pPr>
        <w:spacing w:line="560" w:lineRule="exact"/>
        <w:rPr>
          <w:rFonts w:ascii="方正仿宋_GBK" w:hAnsi="Calibri" w:eastAsia="方正仿宋_GBK" w:cs="Times New Roman"/>
          <w:sz w:val="32"/>
          <w:szCs w:val="32"/>
          <w:highlight w:val="none"/>
        </w:rPr>
      </w:pPr>
    </w:p>
    <w:p>
      <w:pPr>
        <w:spacing w:line="560" w:lineRule="exact"/>
        <w:rPr>
          <w:rFonts w:ascii="方正仿宋_GBK" w:hAnsi="Calibri" w:eastAsia="方正仿宋_GBK" w:cs="Times New Roman"/>
          <w:sz w:val="32"/>
          <w:szCs w:val="32"/>
          <w:highlight w:val="none"/>
        </w:rPr>
      </w:pPr>
    </w:p>
    <w:p>
      <w:pPr>
        <w:spacing w:line="560" w:lineRule="exact"/>
        <w:rPr>
          <w:rFonts w:ascii="方正仿宋_GBK" w:hAnsi="Calibri" w:eastAsia="方正仿宋_GBK" w:cs="Times New Roman"/>
          <w:sz w:val="32"/>
          <w:szCs w:val="32"/>
          <w:highlight w:val="none"/>
        </w:rPr>
      </w:pPr>
      <w:r>
        <w:rPr>
          <w:rFonts w:hint="eastAsia" w:ascii="方正仿宋_GBK" w:hAnsi="Calibri" w:eastAsia="方正仿宋_GBK" w:cs="Times New Roman"/>
          <w:sz w:val="32"/>
          <w:szCs w:val="32"/>
          <w:highlight w:val="none"/>
        </w:rPr>
        <w:t>附件1：</w:t>
      </w:r>
    </w:p>
    <w:p>
      <w:pPr>
        <w:spacing w:line="560" w:lineRule="exact"/>
        <w:jc w:val="center"/>
        <w:rPr>
          <w:rFonts w:ascii="方正仿宋_GBK" w:hAnsi="Calibri" w:eastAsia="方正仿宋_GBK" w:cs="Times New Roman"/>
          <w:b/>
          <w:sz w:val="32"/>
          <w:szCs w:val="32"/>
          <w:highlight w:val="none"/>
        </w:rPr>
      </w:pPr>
      <w:r>
        <w:rPr>
          <w:rFonts w:hint="eastAsia" w:ascii="方正仿宋_GBK" w:hAnsi="Calibri" w:eastAsia="方正仿宋_GBK" w:cs="Times New Roman"/>
          <w:b/>
          <w:sz w:val="32"/>
          <w:szCs w:val="32"/>
          <w:highlight w:val="none"/>
        </w:rPr>
        <w:t>2016年部门决算公开表</w:t>
      </w:r>
    </w:p>
    <w:p>
      <w:pPr>
        <w:spacing w:line="560" w:lineRule="exact"/>
        <w:ind w:firstLine="640" w:firstLineChars="200"/>
        <w:rPr>
          <w:rFonts w:ascii="仿宋_GB2312" w:hAnsi="Calibri" w:eastAsia="仿宋_GB2312" w:cs="Times New Roman"/>
          <w:sz w:val="32"/>
          <w:szCs w:val="32"/>
          <w:highlight w:val="none"/>
        </w:rPr>
      </w:pP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、收支决算总表、财政拨款收入支出决算总表，共计</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张。</w:t>
      </w:r>
    </w:p>
    <w:p>
      <w:pPr>
        <w:spacing w:line="560" w:lineRule="exact"/>
        <w:ind w:left="638" w:leftChars="304" w:firstLine="160" w:firstLineChars="50"/>
        <w:rPr>
          <w:rFonts w:ascii="仿宋_GB2312" w:hAnsi="Calibri" w:eastAsia="仿宋_GB2312" w:cs="Times New Roman"/>
          <w:sz w:val="32"/>
          <w:szCs w:val="32"/>
          <w:highlight w:val="none"/>
        </w:rPr>
      </w:pP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、部门单位收入支出决算表。共计</w:t>
      </w: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9张，主要包括：（</w:t>
      </w: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）收入支出决算表（财决</w:t>
      </w:r>
      <w:r>
        <w:rPr>
          <w:rFonts w:ascii="仿宋_GB2312" w:hAnsi="Calibri" w:eastAsia="仿宋_GB2312" w:cs="Times New Roman"/>
          <w:sz w:val="32"/>
          <w:szCs w:val="32"/>
          <w:highlight w:val="none"/>
        </w:rPr>
        <w:t>02</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）收入决算表（财决</w:t>
      </w:r>
      <w:r>
        <w:rPr>
          <w:rFonts w:ascii="仿宋_GB2312" w:hAnsi="Calibri" w:eastAsia="仿宋_GB2312" w:cs="Times New Roman"/>
          <w:sz w:val="32"/>
          <w:szCs w:val="32"/>
          <w:highlight w:val="none"/>
        </w:rPr>
        <w:t>03</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3</w:t>
      </w:r>
      <w:r>
        <w:rPr>
          <w:rFonts w:hint="eastAsia" w:ascii="仿宋_GB2312" w:hAnsi="Calibri" w:eastAsia="仿宋_GB2312" w:cs="Times New Roman"/>
          <w:sz w:val="32"/>
          <w:szCs w:val="32"/>
          <w:highlight w:val="none"/>
        </w:rPr>
        <w:t>）支出决算表（财决</w:t>
      </w:r>
      <w:r>
        <w:rPr>
          <w:rFonts w:ascii="仿宋_GB2312" w:hAnsi="Calibri" w:eastAsia="仿宋_GB2312" w:cs="Times New Roman"/>
          <w:sz w:val="32"/>
          <w:szCs w:val="32"/>
          <w:highlight w:val="none"/>
        </w:rPr>
        <w:t>04</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4</w:t>
      </w:r>
      <w:r>
        <w:rPr>
          <w:rFonts w:hint="eastAsia" w:ascii="仿宋_GB2312" w:hAnsi="Calibri" w:eastAsia="仿宋_GB2312" w:cs="Times New Roman"/>
          <w:sz w:val="32"/>
          <w:szCs w:val="32"/>
          <w:highlight w:val="none"/>
        </w:rPr>
        <w:t>）支出决算明细表（财决</w:t>
      </w:r>
      <w:r>
        <w:rPr>
          <w:rFonts w:ascii="仿宋_GB2312" w:hAnsi="Calibri" w:eastAsia="仿宋_GB2312" w:cs="Times New Roman"/>
          <w:sz w:val="32"/>
          <w:szCs w:val="32"/>
          <w:highlight w:val="none"/>
        </w:rPr>
        <w:t>05</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5</w:t>
      </w:r>
      <w:r>
        <w:rPr>
          <w:rFonts w:hint="eastAsia" w:ascii="仿宋_GB2312" w:hAnsi="Calibri" w:eastAsia="仿宋_GB2312" w:cs="Times New Roman"/>
          <w:sz w:val="32"/>
          <w:szCs w:val="32"/>
          <w:highlight w:val="none"/>
        </w:rPr>
        <w:t>）基本支出决算明细表（财决</w:t>
      </w:r>
      <w:r>
        <w:rPr>
          <w:rFonts w:ascii="仿宋_GB2312" w:hAnsi="Calibri" w:eastAsia="仿宋_GB2312" w:cs="Times New Roman"/>
          <w:sz w:val="32"/>
          <w:szCs w:val="32"/>
          <w:highlight w:val="none"/>
        </w:rPr>
        <w:t>05</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6</w:t>
      </w:r>
      <w:r>
        <w:rPr>
          <w:rFonts w:hint="eastAsia" w:ascii="仿宋_GB2312" w:hAnsi="Calibri" w:eastAsia="仿宋_GB2312" w:cs="Times New Roman"/>
          <w:sz w:val="32"/>
          <w:szCs w:val="32"/>
          <w:highlight w:val="none"/>
        </w:rPr>
        <w:t>）项目支出决算明细表（财决</w:t>
      </w:r>
      <w:r>
        <w:rPr>
          <w:rFonts w:ascii="仿宋_GB2312" w:hAnsi="Calibri" w:eastAsia="仿宋_GB2312" w:cs="Times New Roman"/>
          <w:sz w:val="32"/>
          <w:szCs w:val="32"/>
          <w:highlight w:val="none"/>
        </w:rPr>
        <w:t>05</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7</w:t>
      </w:r>
      <w:r>
        <w:rPr>
          <w:rFonts w:hint="eastAsia" w:ascii="仿宋_GB2312" w:hAnsi="Calibri" w:eastAsia="仿宋_GB2312" w:cs="Times New Roman"/>
          <w:sz w:val="32"/>
          <w:szCs w:val="32"/>
          <w:highlight w:val="none"/>
        </w:rPr>
        <w:t>）项目收入支出决算表（财决</w:t>
      </w:r>
      <w:r>
        <w:rPr>
          <w:rFonts w:ascii="仿宋_GB2312" w:hAnsi="Calibri" w:eastAsia="仿宋_GB2312" w:cs="Times New Roman"/>
          <w:sz w:val="32"/>
          <w:szCs w:val="32"/>
          <w:highlight w:val="none"/>
        </w:rPr>
        <w:t>06</w:t>
      </w:r>
      <w:r>
        <w:rPr>
          <w:rFonts w:hint="eastAsia" w:ascii="仿宋_GB2312" w:hAnsi="Calibri" w:eastAsia="仿宋_GB2312" w:cs="Times New Roman"/>
          <w:sz w:val="32"/>
          <w:szCs w:val="32"/>
          <w:highlight w:val="none"/>
        </w:rPr>
        <w:t>表）；</w:t>
      </w:r>
    </w:p>
    <w:p>
      <w:pPr>
        <w:spacing w:line="560" w:lineRule="exact"/>
        <w:ind w:left="638" w:leftChars="304"/>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8</w:t>
      </w:r>
      <w:r>
        <w:rPr>
          <w:rFonts w:hint="eastAsia" w:ascii="仿宋_GB2312" w:hAnsi="Calibri" w:eastAsia="仿宋_GB2312" w:cs="Times New Roman"/>
          <w:sz w:val="32"/>
          <w:szCs w:val="32"/>
          <w:highlight w:val="none"/>
        </w:rPr>
        <w:t>）行政事业类项目收入支出决算表（财决</w:t>
      </w:r>
      <w:r>
        <w:rPr>
          <w:rFonts w:ascii="仿宋_GB2312" w:hAnsi="Calibri" w:eastAsia="仿宋_GB2312" w:cs="Times New Roman"/>
          <w:sz w:val="32"/>
          <w:szCs w:val="32"/>
          <w:highlight w:val="none"/>
        </w:rPr>
        <w:t>06</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9</w:t>
      </w:r>
      <w:r>
        <w:rPr>
          <w:rFonts w:hint="eastAsia" w:ascii="仿宋_GB2312" w:hAnsi="Calibri" w:eastAsia="仿宋_GB2312" w:cs="Times New Roman"/>
          <w:sz w:val="32"/>
          <w:szCs w:val="32"/>
          <w:highlight w:val="none"/>
        </w:rPr>
        <w:t>）基本建设类项目收入支出决算表（财决</w:t>
      </w:r>
      <w:r>
        <w:rPr>
          <w:rFonts w:ascii="仿宋_GB2312" w:hAnsi="Calibri" w:eastAsia="仿宋_GB2312" w:cs="Times New Roman"/>
          <w:sz w:val="32"/>
          <w:szCs w:val="32"/>
          <w:highlight w:val="none"/>
        </w:rPr>
        <w:t>06</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10</w:t>
      </w:r>
      <w:r>
        <w:rPr>
          <w:rFonts w:hint="eastAsia" w:ascii="仿宋_GB2312" w:hAnsi="Calibri" w:eastAsia="仿宋_GB2312" w:cs="Times New Roman"/>
          <w:sz w:val="32"/>
          <w:szCs w:val="32"/>
          <w:highlight w:val="none"/>
        </w:rPr>
        <w:t>）一般公共预算财政拨款收入支出决算表（财决</w:t>
      </w:r>
      <w:r>
        <w:rPr>
          <w:rFonts w:ascii="仿宋_GB2312" w:hAnsi="Calibri" w:eastAsia="仿宋_GB2312" w:cs="Times New Roman"/>
          <w:sz w:val="32"/>
          <w:szCs w:val="32"/>
          <w:highlight w:val="none"/>
        </w:rPr>
        <w:t>07</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11</w:t>
      </w:r>
      <w:r>
        <w:rPr>
          <w:rFonts w:hint="eastAsia" w:ascii="仿宋_GB2312" w:hAnsi="Calibri" w:eastAsia="仿宋_GB2312" w:cs="Times New Roman"/>
          <w:sz w:val="32"/>
          <w:szCs w:val="32"/>
          <w:highlight w:val="none"/>
        </w:rPr>
        <w:t>）一般公共预算财政拨款支出决算明细表（财决</w:t>
      </w:r>
      <w:r>
        <w:rPr>
          <w:rFonts w:ascii="仿宋_GB2312" w:hAnsi="Calibri" w:eastAsia="仿宋_GB2312" w:cs="Times New Roman"/>
          <w:sz w:val="32"/>
          <w:szCs w:val="32"/>
          <w:highlight w:val="none"/>
        </w:rPr>
        <w:t>08</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12</w:t>
      </w:r>
      <w:r>
        <w:rPr>
          <w:rFonts w:hint="eastAsia" w:ascii="仿宋_GB2312" w:hAnsi="Calibri" w:eastAsia="仿宋_GB2312" w:cs="Times New Roman"/>
          <w:sz w:val="32"/>
          <w:szCs w:val="32"/>
          <w:highlight w:val="none"/>
        </w:rPr>
        <w:t>）一般公共预算财政拨款基本支出决算明细表（财决</w:t>
      </w:r>
      <w:r>
        <w:rPr>
          <w:rFonts w:ascii="仿宋_GB2312" w:hAnsi="Calibri" w:eastAsia="仿宋_GB2312" w:cs="Times New Roman"/>
          <w:sz w:val="32"/>
          <w:szCs w:val="32"/>
          <w:highlight w:val="none"/>
        </w:rPr>
        <w:t>08</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13</w:t>
      </w:r>
      <w:r>
        <w:rPr>
          <w:rFonts w:hint="eastAsia" w:ascii="仿宋_GB2312" w:hAnsi="Calibri" w:eastAsia="仿宋_GB2312" w:cs="Times New Roman"/>
          <w:sz w:val="32"/>
          <w:szCs w:val="32"/>
          <w:highlight w:val="none"/>
        </w:rPr>
        <w:t>）一般公共预算财政拨款项目支出决算明细表（财决</w:t>
      </w:r>
      <w:r>
        <w:rPr>
          <w:rFonts w:ascii="仿宋_GB2312" w:hAnsi="Calibri" w:eastAsia="仿宋_GB2312" w:cs="Times New Roman"/>
          <w:sz w:val="32"/>
          <w:szCs w:val="32"/>
          <w:highlight w:val="none"/>
        </w:rPr>
        <w:t>08</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表）；</w:t>
      </w:r>
    </w:p>
    <w:p>
      <w:pPr>
        <w:spacing w:line="560" w:lineRule="exact"/>
        <w:ind w:left="638" w:leftChars="304"/>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14</w:t>
      </w:r>
      <w:r>
        <w:rPr>
          <w:rFonts w:hint="eastAsia" w:ascii="仿宋_GB2312" w:hAnsi="Calibri" w:eastAsia="仿宋_GB2312" w:cs="Times New Roman"/>
          <w:sz w:val="32"/>
          <w:szCs w:val="32"/>
          <w:highlight w:val="none"/>
        </w:rPr>
        <w:t>）政府性基金预算财政拨款收入支出决算表（财决</w:t>
      </w:r>
      <w:r>
        <w:rPr>
          <w:rFonts w:ascii="仿宋_GB2312" w:hAnsi="Calibri" w:eastAsia="仿宋_GB2312" w:cs="Times New Roman"/>
          <w:sz w:val="32"/>
          <w:szCs w:val="32"/>
          <w:highlight w:val="none"/>
        </w:rPr>
        <w:t>09</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15</w:t>
      </w:r>
      <w:r>
        <w:rPr>
          <w:rFonts w:hint="eastAsia" w:ascii="仿宋_GB2312" w:hAnsi="Calibri" w:eastAsia="仿宋_GB2312" w:cs="Times New Roman"/>
          <w:sz w:val="32"/>
          <w:szCs w:val="32"/>
          <w:highlight w:val="none"/>
        </w:rPr>
        <w:t>）政府性基金预算财政拨款支出决算明细表（财决</w:t>
      </w:r>
      <w:r>
        <w:rPr>
          <w:rFonts w:ascii="仿宋_GB2312" w:hAnsi="Calibri" w:eastAsia="仿宋_GB2312" w:cs="Times New Roman"/>
          <w:sz w:val="32"/>
          <w:szCs w:val="32"/>
          <w:highlight w:val="none"/>
        </w:rPr>
        <w:t>10</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16</w:t>
      </w:r>
      <w:r>
        <w:rPr>
          <w:rFonts w:hint="eastAsia" w:ascii="仿宋_GB2312" w:hAnsi="Calibri" w:eastAsia="仿宋_GB2312" w:cs="Times New Roman"/>
          <w:sz w:val="32"/>
          <w:szCs w:val="32"/>
          <w:highlight w:val="none"/>
        </w:rPr>
        <w:t>）政府性基金预算财政拨款基本支出决算明细表（财决</w:t>
      </w:r>
      <w:r>
        <w:rPr>
          <w:rFonts w:ascii="仿宋_GB2312" w:hAnsi="Calibri" w:eastAsia="仿宋_GB2312" w:cs="Times New Roman"/>
          <w:sz w:val="32"/>
          <w:szCs w:val="32"/>
          <w:highlight w:val="none"/>
        </w:rPr>
        <w:t>10</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w:t>
      </w:r>
      <w:r>
        <w:rPr>
          <w:rFonts w:hint="eastAsia" w:ascii="仿宋_GB2312" w:hAnsi="Calibri" w:eastAsia="仿宋_GB2312" w:cs="Times New Roman"/>
          <w:sz w:val="32"/>
          <w:szCs w:val="32"/>
          <w:highlight w:val="none"/>
        </w:rPr>
        <w:t>表）；</w:t>
      </w:r>
    </w:p>
    <w:p>
      <w:pPr>
        <w:spacing w:line="560" w:lineRule="exact"/>
        <w:ind w:firstLine="640" w:firstLineChars="200"/>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17</w:t>
      </w:r>
      <w:r>
        <w:rPr>
          <w:rFonts w:hint="eastAsia" w:ascii="仿宋_GB2312" w:hAnsi="Calibri" w:eastAsia="仿宋_GB2312" w:cs="Times New Roman"/>
          <w:sz w:val="32"/>
          <w:szCs w:val="32"/>
          <w:highlight w:val="none"/>
        </w:rPr>
        <w:t>）政府性基金预算财政拨款项目支出决算明细表（财决</w:t>
      </w:r>
      <w:r>
        <w:rPr>
          <w:rFonts w:ascii="仿宋_GB2312" w:hAnsi="Calibri" w:eastAsia="仿宋_GB2312" w:cs="Times New Roman"/>
          <w:sz w:val="32"/>
          <w:szCs w:val="32"/>
          <w:highlight w:val="none"/>
        </w:rPr>
        <w:t>10</w:t>
      </w:r>
      <w:r>
        <w:rPr>
          <w:rFonts w:hint="eastAsia" w:ascii="仿宋_GB2312" w:hAnsi="Calibri" w:eastAsia="仿宋_GB2312" w:cs="Times New Roman"/>
          <w:sz w:val="32"/>
          <w:szCs w:val="32"/>
          <w:highlight w:val="none"/>
        </w:rPr>
        <w:t>－</w:t>
      </w:r>
      <w:r>
        <w:rPr>
          <w:rFonts w:ascii="仿宋_GB2312" w:hAnsi="Calibri" w:eastAsia="仿宋_GB2312" w:cs="Times New Roman"/>
          <w:sz w:val="32"/>
          <w:szCs w:val="32"/>
          <w:highlight w:val="none"/>
        </w:rPr>
        <w:t>2</w:t>
      </w:r>
      <w:r>
        <w:rPr>
          <w:rFonts w:hint="eastAsia" w:ascii="仿宋_GB2312" w:hAnsi="Calibri" w:eastAsia="仿宋_GB2312" w:cs="Times New Roman"/>
          <w:sz w:val="32"/>
          <w:szCs w:val="32"/>
          <w:highlight w:val="none"/>
        </w:rPr>
        <w:t>表）。</w:t>
      </w:r>
    </w:p>
    <w:p>
      <w:pPr>
        <w:spacing w:line="560" w:lineRule="exact"/>
        <w:ind w:left="638" w:leftChars="304"/>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（18）财政专户资金收入支出决算表（财决11表）</w:t>
      </w:r>
    </w:p>
    <w:p>
      <w:pPr>
        <w:spacing w:line="560" w:lineRule="exact"/>
        <w:ind w:left="638" w:leftChars="304"/>
        <w:rPr>
          <w:rFonts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（19）资产负债简表（财决12表）</w:t>
      </w:r>
    </w:p>
    <w:p>
      <w:pPr>
        <w:spacing w:line="460" w:lineRule="exact"/>
        <w:ind w:firstLine="640" w:firstLineChars="200"/>
        <w:rPr>
          <w:rFonts w:ascii="仿宋_GB2312" w:eastAsia="仿宋_GB2312"/>
          <w:sz w:val="32"/>
          <w:szCs w:val="32"/>
          <w:highlight w:val="none"/>
        </w:rPr>
      </w:pPr>
    </w:p>
    <w:p>
      <w:pPr>
        <w:spacing w:line="460" w:lineRule="exact"/>
        <w:ind w:firstLine="640" w:firstLineChars="200"/>
        <w:rPr>
          <w:rFonts w:ascii="仿宋_GB2312" w:eastAsia="仿宋_GB2312"/>
          <w:sz w:val="32"/>
          <w:szCs w:val="32"/>
          <w:highlight w:val="none"/>
        </w:rPr>
      </w:pPr>
    </w:p>
    <w:p>
      <w:pPr>
        <w:spacing w:line="460" w:lineRule="exact"/>
        <w:ind w:firstLine="640" w:firstLineChars="200"/>
        <w:rPr>
          <w:rFonts w:hint="eastAsia" w:ascii="仿宋_GB2312" w:eastAsia="仿宋_GB2312"/>
          <w:sz w:val="32"/>
          <w:szCs w:val="32"/>
          <w:highlight w:val="none"/>
        </w:rPr>
      </w:pPr>
    </w:p>
    <w:p>
      <w:pPr>
        <w:spacing w:line="460" w:lineRule="exact"/>
        <w:ind w:firstLine="640" w:firstLineChars="200"/>
        <w:rPr>
          <w:rFonts w:hint="eastAsia" w:ascii="仿宋_GB2312" w:eastAsia="仿宋_GB2312"/>
          <w:sz w:val="32"/>
          <w:szCs w:val="32"/>
          <w:highlight w:val="none"/>
        </w:rPr>
      </w:pPr>
    </w:p>
    <w:p>
      <w:pPr>
        <w:spacing w:line="460" w:lineRule="exact"/>
        <w:ind w:firstLine="640" w:firstLineChars="200"/>
        <w:rPr>
          <w:rFonts w:hint="eastAsia" w:ascii="仿宋_GB2312" w:eastAsia="仿宋_GB2312"/>
          <w:sz w:val="32"/>
          <w:szCs w:val="32"/>
          <w:highlight w:val="none"/>
        </w:rPr>
      </w:pPr>
    </w:p>
    <w:p>
      <w:pPr>
        <w:spacing w:line="460" w:lineRule="exact"/>
        <w:ind w:firstLine="640" w:firstLineChars="200"/>
        <w:rPr>
          <w:rFonts w:hint="eastAsia" w:ascii="仿宋_GB2312" w:eastAsia="仿宋_GB2312"/>
          <w:sz w:val="32"/>
          <w:szCs w:val="32"/>
          <w:highlight w:val="none"/>
        </w:rPr>
      </w:pPr>
    </w:p>
    <w:p>
      <w:pPr>
        <w:spacing w:line="460" w:lineRule="exact"/>
        <w:ind w:firstLine="640" w:firstLineChars="200"/>
        <w:rPr>
          <w:rFonts w:hint="eastAsia" w:ascii="仿宋_GB2312" w:eastAsia="仿宋_GB2312"/>
          <w:sz w:val="32"/>
          <w:szCs w:val="32"/>
          <w:highlight w:val="none"/>
        </w:rPr>
      </w:pPr>
    </w:p>
    <w:p>
      <w:pPr>
        <w:spacing w:line="460" w:lineRule="exact"/>
        <w:ind w:firstLine="640" w:firstLineChars="200"/>
        <w:rPr>
          <w:rFonts w:ascii="仿宋_GB2312" w:eastAsia="仿宋_GB2312"/>
          <w:sz w:val="32"/>
          <w:szCs w:val="32"/>
          <w:highlight w:val="none"/>
        </w:rPr>
      </w:pPr>
    </w:p>
    <w:p>
      <w:pPr>
        <w:spacing w:line="460" w:lineRule="exact"/>
        <w:ind w:firstLine="640" w:firstLineChars="200"/>
        <w:rPr>
          <w:rFonts w:ascii="仿宋_GB2312" w:eastAsia="仿宋_GB2312"/>
          <w:sz w:val="32"/>
          <w:szCs w:val="32"/>
          <w:highlight w:val="none"/>
        </w:rPr>
      </w:pPr>
    </w:p>
    <w:tbl>
      <w:tblPr>
        <w:tblStyle w:val="7"/>
        <w:tblW w:w="14792" w:type="dxa"/>
        <w:tblInd w:w="93" w:type="dxa"/>
        <w:tblLayout w:type="fixed"/>
        <w:tblCellMar>
          <w:top w:w="0" w:type="dxa"/>
          <w:left w:w="108" w:type="dxa"/>
          <w:bottom w:w="0" w:type="dxa"/>
          <w:right w:w="108" w:type="dxa"/>
        </w:tblCellMar>
      </w:tblPr>
      <w:tblGrid>
        <w:gridCol w:w="582"/>
        <w:gridCol w:w="426"/>
        <w:gridCol w:w="567"/>
        <w:gridCol w:w="850"/>
        <w:gridCol w:w="567"/>
        <w:gridCol w:w="425"/>
        <w:gridCol w:w="426"/>
        <w:gridCol w:w="425"/>
        <w:gridCol w:w="425"/>
        <w:gridCol w:w="403"/>
        <w:gridCol w:w="164"/>
        <w:gridCol w:w="576"/>
        <w:gridCol w:w="144"/>
        <w:gridCol w:w="92"/>
        <w:gridCol w:w="464"/>
        <w:gridCol w:w="567"/>
        <w:gridCol w:w="613"/>
        <w:gridCol w:w="521"/>
        <w:gridCol w:w="142"/>
        <w:gridCol w:w="377"/>
        <w:gridCol w:w="1120"/>
        <w:gridCol w:w="236"/>
        <w:gridCol w:w="720"/>
        <w:gridCol w:w="740"/>
        <w:gridCol w:w="1120"/>
        <w:gridCol w:w="2100"/>
      </w:tblGrid>
      <w:tr>
        <w:tblPrEx>
          <w:tblLayout w:type="fixed"/>
          <w:tblCellMar>
            <w:top w:w="0" w:type="dxa"/>
            <w:left w:w="108" w:type="dxa"/>
            <w:bottom w:w="0" w:type="dxa"/>
            <w:right w:w="108" w:type="dxa"/>
          </w:tblCellMar>
        </w:tblPrEx>
        <w:trPr>
          <w:gridAfter w:val="7"/>
          <w:wAfter w:w="6413" w:type="dxa"/>
          <w:trHeight w:val="285" w:hRule="atLeast"/>
        </w:trPr>
        <w:tc>
          <w:tcPr>
            <w:tcW w:w="8379" w:type="dxa"/>
            <w:gridSpan w:val="19"/>
            <w:tcBorders>
              <w:top w:val="nil"/>
              <w:left w:val="nil"/>
              <w:bottom w:val="nil"/>
              <w:right w:val="nil"/>
            </w:tcBorders>
            <w:shd w:val="clear" w:color="auto" w:fill="auto"/>
            <w:vAlign w:val="bottom"/>
          </w:tcPr>
          <w:p>
            <w:pPr>
              <w:widowControl/>
              <w:jc w:val="left"/>
              <w:rPr>
                <w:rFonts w:ascii="宋体" w:hAnsi="宋体" w:eastAsia="宋体" w:cs="Arial"/>
                <w:b/>
                <w:bCs/>
                <w:color w:val="000000"/>
                <w:kern w:val="0"/>
                <w:sz w:val="22"/>
                <w:highlight w:val="none"/>
              </w:rPr>
            </w:pPr>
            <w:r>
              <w:rPr>
                <w:rFonts w:hint="eastAsia" w:ascii="宋体" w:hAnsi="宋体" w:eastAsia="宋体" w:cs="Arial"/>
                <w:b/>
                <w:bCs/>
                <w:color w:val="000000"/>
                <w:kern w:val="0"/>
                <w:sz w:val="22"/>
                <w:highlight w:val="none"/>
              </w:rPr>
              <w:t>附件2：</w:t>
            </w:r>
          </w:p>
        </w:tc>
      </w:tr>
      <w:tr>
        <w:tblPrEx>
          <w:tblLayout w:type="fixed"/>
          <w:tblCellMar>
            <w:top w:w="0" w:type="dxa"/>
            <w:left w:w="108" w:type="dxa"/>
            <w:bottom w:w="0" w:type="dxa"/>
            <w:right w:w="108" w:type="dxa"/>
          </w:tblCellMar>
        </w:tblPrEx>
        <w:trPr>
          <w:gridAfter w:val="7"/>
          <w:wAfter w:w="6413" w:type="dxa"/>
          <w:trHeight w:val="810" w:hRule="atLeast"/>
        </w:trPr>
        <w:tc>
          <w:tcPr>
            <w:tcW w:w="8379" w:type="dxa"/>
            <w:gridSpan w:val="19"/>
            <w:tcBorders>
              <w:top w:val="nil"/>
              <w:left w:val="nil"/>
              <w:bottom w:val="nil"/>
              <w:right w:val="nil"/>
            </w:tcBorders>
            <w:shd w:val="clear" w:color="auto" w:fill="auto"/>
            <w:vAlign w:val="center"/>
          </w:tcPr>
          <w:p>
            <w:pPr>
              <w:widowControl/>
              <w:tabs>
                <w:tab w:val="left" w:pos="8271"/>
              </w:tabs>
              <w:ind w:right="-107" w:rightChars="-51"/>
              <w:jc w:val="center"/>
              <w:rPr>
                <w:rFonts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2016年乌鲁木齐职业大学财政拨款“三公”经费支出表及说明</w:t>
            </w:r>
          </w:p>
        </w:tc>
      </w:tr>
      <w:tr>
        <w:tblPrEx>
          <w:tblLayout w:type="fixed"/>
          <w:tblCellMar>
            <w:top w:w="0" w:type="dxa"/>
            <w:left w:w="108" w:type="dxa"/>
            <w:bottom w:w="0" w:type="dxa"/>
            <w:right w:w="108" w:type="dxa"/>
          </w:tblCellMar>
        </w:tblPrEx>
        <w:trPr>
          <w:trHeight w:val="465" w:hRule="atLeast"/>
        </w:trPr>
        <w:tc>
          <w:tcPr>
            <w:tcW w:w="582" w:type="dxa"/>
            <w:tcBorders>
              <w:top w:val="nil"/>
              <w:left w:val="nil"/>
              <w:bottom w:val="nil"/>
              <w:right w:val="nil"/>
            </w:tcBorders>
            <w:shd w:val="clear" w:color="auto" w:fill="auto"/>
            <w:vAlign w:val="center"/>
          </w:tcPr>
          <w:p>
            <w:pPr>
              <w:widowControl/>
              <w:ind w:firstLine="440" w:firstLineChars="200"/>
              <w:jc w:val="right"/>
              <w:rPr>
                <w:rFonts w:ascii="宋体" w:hAnsi="宋体" w:eastAsia="宋体" w:cs="Arial"/>
                <w:color w:val="000000"/>
                <w:kern w:val="0"/>
                <w:sz w:val="22"/>
                <w:highlight w:val="none"/>
              </w:rPr>
            </w:pPr>
          </w:p>
        </w:tc>
        <w:tc>
          <w:tcPr>
            <w:tcW w:w="4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3521" w:type="dxa"/>
            <w:gridSpan w:val="7"/>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74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23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1644"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1040" w:type="dxa"/>
            <w:gridSpan w:val="3"/>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23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7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74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2100" w:type="dxa"/>
            <w:tcBorders>
              <w:top w:val="nil"/>
              <w:left w:val="nil"/>
              <w:bottom w:val="single" w:color="auto" w:sz="4" w:space="0"/>
              <w:right w:val="nil"/>
            </w:tcBorders>
            <w:shd w:val="clear" w:color="auto" w:fill="auto"/>
            <w:vAlign w:val="center"/>
          </w:tcPr>
          <w:p>
            <w:pPr>
              <w:widowControl/>
              <w:jc w:val="right"/>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金额单位：元</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单位名称</w:t>
            </w:r>
          </w:p>
        </w:tc>
        <w:tc>
          <w:tcPr>
            <w:tcW w:w="4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合计</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因公出国（境）费用</w:t>
            </w:r>
          </w:p>
        </w:tc>
        <w:tc>
          <w:tcPr>
            <w:tcW w:w="184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公务接待费</w:t>
            </w:r>
          </w:p>
        </w:tc>
        <w:tc>
          <w:tcPr>
            <w:tcW w:w="482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公务用车购置及运行维护费</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小计</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c>
          <w:tcPr>
            <w:tcW w:w="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小计</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c>
          <w:tcPr>
            <w:tcW w:w="184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公务用车购置</w:t>
            </w: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公务用车运行维护费</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4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highlight w:val="none"/>
              </w:rPr>
            </w:pP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小计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5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小计</w:t>
            </w:r>
          </w:p>
        </w:tc>
        <w:tc>
          <w:tcPr>
            <w:tcW w:w="61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基本支出</w:t>
            </w:r>
          </w:p>
        </w:tc>
        <w:tc>
          <w:tcPr>
            <w:tcW w:w="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2"/>
                <w:highlight w:val="none"/>
              </w:rPr>
            </w:pPr>
            <w:r>
              <w:rPr>
                <w:rFonts w:hint="eastAsia" w:ascii="宋体" w:hAnsi="宋体" w:eastAsia="宋体" w:cs="Arial"/>
                <w:color w:val="000000"/>
                <w:kern w:val="0"/>
                <w:sz w:val="22"/>
                <w:highlight w:val="none"/>
              </w:rPr>
              <w:t>项目支出</w:t>
            </w:r>
          </w:p>
        </w:tc>
      </w:tr>
      <w:tr>
        <w:tblPrEx>
          <w:tblLayout w:type="fixed"/>
          <w:tblCellMar>
            <w:top w:w="0" w:type="dxa"/>
            <w:left w:w="108" w:type="dxa"/>
            <w:bottom w:w="0" w:type="dxa"/>
            <w:right w:w="108" w:type="dxa"/>
          </w:tblCellMar>
        </w:tblPrEx>
        <w:trPr>
          <w:gridAfter w:val="8"/>
          <w:wAfter w:w="6555" w:type="dxa"/>
          <w:trHeight w:val="720" w:hRule="atLeast"/>
        </w:trPr>
        <w:tc>
          <w:tcPr>
            <w:tcW w:w="5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乌鲁木齐职业大学　</w:t>
            </w:r>
          </w:p>
        </w:tc>
        <w:tc>
          <w:tcPr>
            <w:tcW w:w="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1"/>
                <w:szCs w:val="11"/>
                <w:highlight w:val="none"/>
              </w:rPr>
            </w:pPr>
            <w:r>
              <w:rPr>
                <w:rFonts w:hint="eastAsia" w:ascii="宋体" w:hAnsi="宋体" w:eastAsia="宋体" w:cs="Arial"/>
                <w:color w:val="000000"/>
                <w:kern w:val="0"/>
                <w:sz w:val="11"/>
                <w:szCs w:val="11"/>
                <w:highlight w:val="none"/>
              </w:rPr>
              <w:t>1115764.25</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256250.95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8099</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w:t>
            </w:r>
            <w:r>
              <w:rPr>
                <w:rFonts w:hint="eastAsia" w:ascii="宋体" w:hAnsi="宋体" w:eastAsia="宋体" w:cs="Arial"/>
                <w:color w:val="000000"/>
                <w:kern w:val="0"/>
                <w:sz w:val="15"/>
                <w:szCs w:val="15"/>
                <w:highlight w:val="none"/>
              </w:rPr>
              <w:t>8099</w:t>
            </w: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0　</w:t>
            </w:r>
          </w:p>
        </w:tc>
        <w:tc>
          <w:tcPr>
            <w:tcW w:w="4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851414.3</w:t>
            </w: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798045.30　</w:t>
            </w:r>
          </w:p>
        </w:tc>
        <w:tc>
          <w:tcPr>
            <w:tcW w:w="4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53369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0</w:t>
            </w:r>
          </w:p>
        </w:tc>
        <w:tc>
          <w:tcPr>
            <w:tcW w:w="5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　0</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851414.3　</w:t>
            </w:r>
          </w:p>
        </w:tc>
        <w:tc>
          <w:tcPr>
            <w:tcW w:w="61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798045.30</w:t>
            </w:r>
          </w:p>
        </w:tc>
        <w:tc>
          <w:tcPr>
            <w:tcW w:w="52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20"/>
                <w:szCs w:val="20"/>
                <w:highlight w:val="none"/>
              </w:rPr>
            </w:pPr>
            <w:r>
              <w:rPr>
                <w:rFonts w:hint="eastAsia" w:ascii="宋体" w:hAnsi="宋体" w:eastAsia="宋体" w:cs="Arial"/>
                <w:color w:val="000000"/>
                <w:kern w:val="0"/>
                <w:sz w:val="20"/>
                <w:szCs w:val="20"/>
                <w:highlight w:val="none"/>
              </w:rPr>
              <w:t>53369</w:t>
            </w:r>
          </w:p>
        </w:tc>
      </w:tr>
      <w:tr>
        <w:tblPrEx>
          <w:tblLayout w:type="fixed"/>
          <w:tblCellMar>
            <w:top w:w="0" w:type="dxa"/>
            <w:left w:w="108" w:type="dxa"/>
            <w:bottom w:w="0" w:type="dxa"/>
            <w:right w:w="108" w:type="dxa"/>
          </w:tblCellMar>
        </w:tblPrEx>
        <w:trPr>
          <w:gridAfter w:val="8"/>
          <w:wAfter w:w="6555" w:type="dxa"/>
          <w:trHeight w:val="225" w:hRule="atLeast"/>
        </w:trPr>
        <w:tc>
          <w:tcPr>
            <w:tcW w:w="582" w:type="dxa"/>
            <w:tcBorders>
              <w:top w:val="nil"/>
              <w:left w:val="nil"/>
              <w:bottom w:val="nil"/>
              <w:right w:val="nil"/>
            </w:tcBorders>
            <w:shd w:val="clear" w:color="auto" w:fill="auto"/>
            <w:vAlign w:val="center"/>
          </w:tcPr>
          <w:p>
            <w:pPr>
              <w:widowControl/>
              <w:jc w:val="center"/>
              <w:rPr>
                <w:rFonts w:ascii="宋体" w:hAnsi="宋体" w:eastAsia="宋体" w:cs="Arial"/>
                <w:color w:val="000000"/>
                <w:kern w:val="0"/>
                <w:sz w:val="22"/>
                <w:highlight w:val="none"/>
              </w:rPr>
            </w:pPr>
          </w:p>
        </w:tc>
        <w:tc>
          <w:tcPr>
            <w:tcW w:w="4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850"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4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426"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4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425"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67"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720"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56" w:type="dxa"/>
            <w:gridSpan w:val="2"/>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67"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613"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c>
          <w:tcPr>
            <w:tcW w:w="521" w:type="dxa"/>
            <w:tcBorders>
              <w:top w:val="nil"/>
              <w:left w:val="nil"/>
              <w:bottom w:val="nil"/>
              <w:right w:val="nil"/>
            </w:tcBorders>
            <w:shd w:val="clear" w:color="auto" w:fill="auto"/>
            <w:vAlign w:val="bottom"/>
          </w:tcPr>
          <w:p>
            <w:pPr>
              <w:widowControl/>
              <w:jc w:val="left"/>
              <w:rPr>
                <w:rFonts w:ascii="Arial" w:hAnsi="Arial" w:eastAsia="宋体" w:cs="Arial"/>
                <w:color w:val="000000"/>
                <w:kern w:val="0"/>
                <w:sz w:val="20"/>
                <w:szCs w:val="20"/>
                <w:highlight w:val="none"/>
              </w:rPr>
            </w:pPr>
          </w:p>
        </w:tc>
      </w:tr>
      <w:tr>
        <w:tblPrEx>
          <w:tblLayout w:type="fixed"/>
          <w:tblCellMar>
            <w:top w:w="0" w:type="dxa"/>
            <w:left w:w="108" w:type="dxa"/>
            <w:bottom w:w="0" w:type="dxa"/>
            <w:right w:w="108" w:type="dxa"/>
          </w:tblCellMar>
        </w:tblPrEx>
        <w:trPr>
          <w:gridAfter w:val="8"/>
          <w:wAfter w:w="6555" w:type="dxa"/>
          <w:trHeight w:val="2745" w:hRule="atLeast"/>
        </w:trPr>
        <w:tc>
          <w:tcPr>
            <w:tcW w:w="8237" w:type="dxa"/>
            <w:gridSpan w:val="18"/>
            <w:tcBorders>
              <w:top w:val="nil"/>
              <w:left w:val="nil"/>
              <w:bottom w:val="nil"/>
              <w:right w:val="nil"/>
            </w:tcBorders>
            <w:shd w:val="clear" w:color="auto" w:fill="auto"/>
            <w:vAlign w:val="center"/>
          </w:tcPr>
          <w:p>
            <w:pPr>
              <w:widowControl/>
              <w:jc w:val="left"/>
              <w:rPr>
                <w:rFonts w:ascii="宋体" w:hAnsi="宋体" w:eastAsia="宋体" w:cs="Arial"/>
                <w:b/>
                <w:bCs/>
                <w:color w:val="000000"/>
                <w:kern w:val="0"/>
                <w:sz w:val="28"/>
                <w:szCs w:val="28"/>
                <w:highlight w:val="none"/>
              </w:rPr>
            </w:pPr>
            <w:r>
              <w:rPr>
                <w:rFonts w:hint="eastAsia" w:ascii="仿宋_GB2312" w:hAnsi="宋体" w:eastAsia="仿宋_GB2312" w:cs="Arial"/>
                <w:b/>
                <w:bCs/>
                <w:color w:val="000000"/>
                <w:kern w:val="0"/>
                <w:sz w:val="28"/>
                <w:szCs w:val="28"/>
                <w:highlight w:val="none"/>
              </w:rPr>
              <w:t>说明：</w:t>
            </w:r>
            <w:r>
              <w:rPr>
                <w:rFonts w:hint="eastAsia" w:ascii="仿宋_GB2312" w:hAnsi="宋体" w:eastAsia="仿宋_GB2312" w:cs="Arial"/>
                <w:color w:val="000000"/>
                <w:kern w:val="0"/>
                <w:sz w:val="28"/>
                <w:szCs w:val="28"/>
                <w:highlight w:val="none"/>
              </w:rPr>
              <w:t>在财政拨款“三公”经费公开中（含政府性基金），应对以下事项进行说明：                                                                                                                                1、出国团组数及人数：2组10人                                                                                            2、购置公务用车数量0，年末单位公务用车保有量25辆；单位年末一般公务用车25辆，一般执法执勤用车0辆，特种专业技术用车0辆，其他用车0辆。                                                                  3、公务接待11批次，共65人；                                                                                   4、其他需说明事项X</w:t>
            </w:r>
          </w:p>
        </w:tc>
      </w:tr>
    </w:tbl>
    <w:p>
      <w:pPr>
        <w:spacing w:line="460" w:lineRule="exact"/>
        <w:ind w:firstLine="4640" w:firstLineChars="1450"/>
        <w:rPr>
          <w:rFonts w:ascii="仿宋_GB2312" w:eastAsia="仿宋_GB2312"/>
          <w:sz w:val="32"/>
          <w:szCs w:val="32"/>
          <w:highlight w:val="none"/>
        </w:rPr>
      </w:pPr>
      <w:r>
        <w:rPr>
          <w:rFonts w:hint="eastAsia" w:ascii="仿宋_GB2312" w:eastAsia="仿宋_GB2312"/>
          <w:sz w:val="32"/>
          <w:szCs w:val="32"/>
          <w:highlight w:val="none"/>
        </w:rPr>
        <w:t>2017年7月3日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Tahoma">
    <w:panose1 w:val="020B0604030504040204"/>
    <w:charset w:val="00"/>
    <w:family w:val="swiss"/>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3E8"/>
    <w:multiLevelType w:val="multilevel"/>
    <w:tmpl w:val="350243E8"/>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595AFDF3"/>
    <w:multiLevelType w:val="singleLevel"/>
    <w:tmpl w:val="595AFDF3"/>
    <w:lvl w:ilvl="0" w:tentative="0">
      <w:start w:val="2"/>
      <w:numFmt w:val="chineseCounting"/>
      <w:suff w:val="nothing"/>
      <w:lvlText w:val="(%1)"/>
      <w:lvlJc w:val="left"/>
    </w:lvl>
  </w:abstractNum>
  <w:abstractNum w:abstractNumId="2">
    <w:nsid w:val="595B008E"/>
    <w:multiLevelType w:val="singleLevel"/>
    <w:tmpl w:val="595B008E"/>
    <w:lvl w:ilvl="0" w:tentative="0">
      <w:start w:val="5"/>
      <w:numFmt w:val="chineseCounting"/>
      <w:suff w:val="nothing"/>
      <w:lvlText w:val="%1、"/>
      <w:lvlJc w:val="left"/>
    </w:lvl>
  </w:abstractNum>
  <w:abstractNum w:abstractNumId="3">
    <w:nsid w:val="595B0136"/>
    <w:multiLevelType w:val="singleLevel"/>
    <w:tmpl w:val="595B0136"/>
    <w:lvl w:ilvl="0" w:tentative="0">
      <w:start w:val="6"/>
      <w:numFmt w:val="chineseCounting"/>
      <w:suff w:val="nothing"/>
      <w:lvlText w:val="%1、"/>
      <w:lvlJc w:val="left"/>
    </w:lvl>
  </w:abstractNum>
  <w:abstractNum w:abstractNumId="4">
    <w:nsid w:val="595B7E9D"/>
    <w:multiLevelType w:val="singleLevel"/>
    <w:tmpl w:val="595B7E9D"/>
    <w:lvl w:ilvl="0" w:tentative="0">
      <w:start w:val="1"/>
      <w:numFmt w:val="chineseCounting"/>
      <w:suff w:val="nothing"/>
      <w:lvlText w:val="%1、"/>
      <w:lvlJc w:val="left"/>
    </w:lvl>
  </w:abstractNum>
  <w:abstractNum w:abstractNumId="5">
    <w:nsid w:val="5A2F7555"/>
    <w:multiLevelType w:val="singleLevel"/>
    <w:tmpl w:val="5A2F7555"/>
    <w:lvl w:ilvl="0" w:tentative="0">
      <w:start w:val="3"/>
      <w:numFmt w:val="chineseCounting"/>
      <w:suff w:val="nothing"/>
      <w:lvlText w:val="（%1）"/>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702D"/>
    <w:rsid w:val="00013891"/>
    <w:rsid w:val="00015818"/>
    <w:rsid w:val="0002613D"/>
    <w:rsid w:val="00061BB1"/>
    <w:rsid w:val="00064AFA"/>
    <w:rsid w:val="000800DC"/>
    <w:rsid w:val="0008728F"/>
    <w:rsid w:val="00094A31"/>
    <w:rsid w:val="000E40C6"/>
    <w:rsid w:val="000E6084"/>
    <w:rsid w:val="000F55A0"/>
    <w:rsid w:val="00141020"/>
    <w:rsid w:val="00186E31"/>
    <w:rsid w:val="001A2EC9"/>
    <w:rsid w:val="001A31F7"/>
    <w:rsid w:val="001E2E4E"/>
    <w:rsid w:val="001E6EAB"/>
    <w:rsid w:val="00217BFC"/>
    <w:rsid w:val="0023451A"/>
    <w:rsid w:val="00263AE6"/>
    <w:rsid w:val="002735C4"/>
    <w:rsid w:val="00296536"/>
    <w:rsid w:val="002E18A2"/>
    <w:rsid w:val="003003FD"/>
    <w:rsid w:val="00317B57"/>
    <w:rsid w:val="00321CA7"/>
    <w:rsid w:val="003417DE"/>
    <w:rsid w:val="003966D5"/>
    <w:rsid w:val="003B4A1E"/>
    <w:rsid w:val="003F1A88"/>
    <w:rsid w:val="004007D4"/>
    <w:rsid w:val="00416148"/>
    <w:rsid w:val="0042129C"/>
    <w:rsid w:val="00424A4F"/>
    <w:rsid w:val="0044478C"/>
    <w:rsid w:val="004919F7"/>
    <w:rsid w:val="004A593D"/>
    <w:rsid w:val="004E7C76"/>
    <w:rsid w:val="0051702D"/>
    <w:rsid w:val="0052068C"/>
    <w:rsid w:val="0052782A"/>
    <w:rsid w:val="00531427"/>
    <w:rsid w:val="00550C1D"/>
    <w:rsid w:val="005900EE"/>
    <w:rsid w:val="005D088A"/>
    <w:rsid w:val="005D11CE"/>
    <w:rsid w:val="005D19A7"/>
    <w:rsid w:val="00634CC4"/>
    <w:rsid w:val="00690372"/>
    <w:rsid w:val="006D7703"/>
    <w:rsid w:val="006E53B8"/>
    <w:rsid w:val="00711021"/>
    <w:rsid w:val="00714515"/>
    <w:rsid w:val="00736E3E"/>
    <w:rsid w:val="00746D4C"/>
    <w:rsid w:val="00750022"/>
    <w:rsid w:val="00762986"/>
    <w:rsid w:val="00764843"/>
    <w:rsid w:val="0083572A"/>
    <w:rsid w:val="00861FF8"/>
    <w:rsid w:val="0088067A"/>
    <w:rsid w:val="008A63B3"/>
    <w:rsid w:val="008B6259"/>
    <w:rsid w:val="008C46C2"/>
    <w:rsid w:val="008D4723"/>
    <w:rsid w:val="008E7A01"/>
    <w:rsid w:val="008F6269"/>
    <w:rsid w:val="00931AAD"/>
    <w:rsid w:val="00941249"/>
    <w:rsid w:val="009B5506"/>
    <w:rsid w:val="00A42078"/>
    <w:rsid w:val="00A60E1D"/>
    <w:rsid w:val="00A62756"/>
    <w:rsid w:val="00A85F60"/>
    <w:rsid w:val="00A90317"/>
    <w:rsid w:val="00AA2095"/>
    <w:rsid w:val="00AC074D"/>
    <w:rsid w:val="00AC102C"/>
    <w:rsid w:val="00AC51CE"/>
    <w:rsid w:val="00AF4A4F"/>
    <w:rsid w:val="00B034B3"/>
    <w:rsid w:val="00B10DB4"/>
    <w:rsid w:val="00B2698D"/>
    <w:rsid w:val="00B65043"/>
    <w:rsid w:val="00B84A34"/>
    <w:rsid w:val="00B86D64"/>
    <w:rsid w:val="00BA1A3C"/>
    <w:rsid w:val="00BA208F"/>
    <w:rsid w:val="00C00690"/>
    <w:rsid w:val="00C06E53"/>
    <w:rsid w:val="00C43134"/>
    <w:rsid w:val="00C4605A"/>
    <w:rsid w:val="00C64430"/>
    <w:rsid w:val="00C775AB"/>
    <w:rsid w:val="00C8361F"/>
    <w:rsid w:val="00CA342C"/>
    <w:rsid w:val="00D07DEF"/>
    <w:rsid w:val="00D24325"/>
    <w:rsid w:val="00D4609C"/>
    <w:rsid w:val="00D50797"/>
    <w:rsid w:val="00D6573B"/>
    <w:rsid w:val="00D964C6"/>
    <w:rsid w:val="00DB34C3"/>
    <w:rsid w:val="00DB75A3"/>
    <w:rsid w:val="00DC0621"/>
    <w:rsid w:val="00DC24FC"/>
    <w:rsid w:val="00DD10E1"/>
    <w:rsid w:val="00E042A5"/>
    <w:rsid w:val="00E11096"/>
    <w:rsid w:val="00E509BA"/>
    <w:rsid w:val="00E840CA"/>
    <w:rsid w:val="00F10A7A"/>
    <w:rsid w:val="00F35815"/>
    <w:rsid w:val="00F46435"/>
    <w:rsid w:val="00F81056"/>
    <w:rsid w:val="00F86ED9"/>
    <w:rsid w:val="00FA2DEA"/>
    <w:rsid w:val="00FA7110"/>
    <w:rsid w:val="01902EAD"/>
    <w:rsid w:val="03307C92"/>
    <w:rsid w:val="05761457"/>
    <w:rsid w:val="0579063A"/>
    <w:rsid w:val="05C12B23"/>
    <w:rsid w:val="0604202A"/>
    <w:rsid w:val="07A21FD1"/>
    <w:rsid w:val="08C157D6"/>
    <w:rsid w:val="096B18A2"/>
    <w:rsid w:val="0ABF0455"/>
    <w:rsid w:val="0ABF4668"/>
    <w:rsid w:val="0AC55126"/>
    <w:rsid w:val="0B554C23"/>
    <w:rsid w:val="0C2025AF"/>
    <w:rsid w:val="0C2203C4"/>
    <w:rsid w:val="0C973E86"/>
    <w:rsid w:val="0D021AD2"/>
    <w:rsid w:val="0F8710CE"/>
    <w:rsid w:val="100655B6"/>
    <w:rsid w:val="11B85A4E"/>
    <w:rsid w:val="12752848"/>
    <w:rsid w:val="15F4349D"/>
    <w:rsid w:val="17E10192"/>
    <w:rsid w:val="184C4D9B"/>
    <w:rsid w:val="1B616F7C"/>
    <w:rsid w:val="1CB717F6"/>
    <w:rsid w:val="1D622FA4"/>
    <w:rsid w:val="1FF85F72"/>
    <w:rsid w:val="20335293"/>
    <w:rsid w:val="205B6631"/>
    <w:rsid w:val="215F31F8"/>
    <w:rsid w:val="21683229"/>
    <w:rsid w:val="2294099D"/>
    <w:rsid w:val="25A50181"/>
    <w:rsid w:val="25D50846"/>
    <w:rsid w:val="28B23D24"/>
    <w:rsid w:val="29B106EF"/>
    <w:rsid w:val="2A8A0F49"/>
    <w:rsid w:val="2B112E39"/>
    <w:rsid w:val="2BA61273"/>
    <w:rsid w:val="2C9F5EF0"/>
    <w:rsid w:val="2DBD7AB9"/>
    <w:rsid w:val="2DC00101"/>
    <w:rsid w:val="2DCC3771"/>
    <w:rsid w:val="2E372CA4"/>
    <w:rsid w:val="2F1813CE"/>
    <w:rsid w:val="2F2943F4"/>
    <w:rsid w:val="3102197F"/>
    <w:rsid w:val="3219029D"/>
    <w:rsid w:val="32D23FE6"/>
    <w:rsid w:val="340464AD"/>
    <w:rsid w:val="35852AF2"/>
    <w:rsid w:val="39024147"/>
    <w:rsid w:val="3C0266D8"/>
    <w:rsid w:val="3D5645EC"/>
    <w:rsid w:val="3EBC1994"/>
    <w:rsid w:val="3F1F1426"/>
    <w:rsid w:val="3FF81DB5"/>
    <w:rsid w:val="40D66C62"/>
    <w:rsid w:val="42E13CFB"/>
    <w:rsid w:val="48263859"/>
    <w:rsid w:val="499B5DC8"/>
    <w:rsid w:val="4BB53AFB"/>
    <w:rsid w:val="4C916B0B"/>
    <w:rsid w:val="4E3138F6"/>
    <w:rsid w:val="4ED66747"/>
    <w:rsid w:val="4FBB0CF8"/>
    <w:rsid w:val="529F52B5"/>
    <w:rsid w:val="52B034A6"/>
    <w:rsid w:val="52D635BF"/>
    <w:rsid w:val="578D07F9"/>
    <w:rsid w:val="5A0E749D"/>
    <w:rsid w:val="5B854040"/>
    <w:rsid w:val="5C075D88"/>
    <w:rsid w:val="5CAE7220"/>
    <w:rsid w:val="5D10005E"/>
    <w:rsid w:val="5FE80A07"/>
    <w:rsid w:val="604D1975"/>
    <w:rsid w:val="60EA415C"/>
    <w:rsid w:val="61BF7D27"/>
    <w:rsid w:val="641E6B92"/>
    <w:rsid w:val="64466075"/>
    <w:rsid w:val="646B4B77"/>
    <w:rsid w:val="65793A9E"/>
    <w:rsid w:val="69D9791F"/>
    <w:rsid w:val="6DBA6F3B"/>
    <w:rsid w:val="6E4E1380"/>
    <w:rsid w:val="6FEE7B3E"/>
    <w:rsid w:val="707C39F4"/>
    <w:rsid w:val="71E23F79"/>
    <w:rsid w:val="74295ECE"/>
    <w:rsid w:val="74CA6D16"/>
    <w:rsid w:val="777B7955"/>
    <w:rsid w:val="7C884E8E"/>
    <w:rsid w:val="7D7259BA"/>
    <w:rsid w:val="7DC5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68680-E3B0-4AF2-95C2-28C4FB26123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797</Words>
  <Characters>4549</Characters>
  <Lines>37</Lines>
  <Paragraphs>10</Paragraphs>
  <TotalTime>12</TotalTime>
  <ScaleCrop>false</ScaleCrop>
  <LinksUpToDate>false</LinksUpToDate>
  <CharactersWithSpaces>5336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2011-06-29T04:56:00Z</dcterms:created>
  <dc:creator>王伟东</dc:creator>
  <cp:lastModifiedBy>笑靥</cp:lastModifiedBy>
  <cp:lastPrinted>2017-06-27T10:49:00Z</cp:lastPrinted>
  <dcterms:modified xsi:type="dcterms:W3CDTF">2018-12-11T08:11:11Z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